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10/07/2026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modulée pour les bâtiments tertiaires</w:t>
      </w:r>
    </w:p>
    <w:p>
      <w:pPr/>
      <w:r>
        <w:rPr>
          <w:rStyle w:val="font_h1"/>
        </w:rPr>
        <w:t xml:space="preserve">1. Principe</w:t>
      </w:r>
    </w:p>
    <w:p>
      <w:pPr/>
      <w:r>
        <w:rPr>
          <w:rStyle w:val="font_h1"/>
        </w:rPr>
        <w:t xml:space="preserve">2. Domaine d'emploi</w:t>
      </w:r>
    </w:p>
    <w:p>
      <w:pPr/>
      <w:r>
        <w:rPr>
          <w:rStyle w:val="font_h1"/>
        </w:rPr>
        <w:t xml:space="preserve">3. Description des systèmes</w:t>
      </w:r>
    </w:p>
    <w:p>
      <w:pPr/>
      <w:r>
        <w:rPr>
          <w:rStyle w:val="font_h1"/>
        </w:rPr>
        <w:t xml:space="preserve">4. Description des composants</w:t>
      </w:r>
    </w:p>
    <w:p>
      <w:pPr/>
      <w:r>
        <w:rPr/>
        <w:t xml:space="preserve">Validé par le Groupe Spécialisé le 30/11/2021</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régulateurs de débit en conduit autoréglables : les essais sont réalisés selon les normes définitives NF E51-776-1 et NF E51-776-2, avec le planning défini ci-dessous.</w:t>
      </w:r>
    </w:p>
    <w:p>
      <w:pPr/>
      <w:r>
        <w:rPr/>
        <w:t xml:space="preserve">Délais de mise en application quel que soit le type de demande (révision, nouvelle demande…) :</w:t>
      </w:r>
    </w:p>
    <w:p>
      <w:pPr/>
      <w:r>
        <w:rPr/>
        <w:t xml:space="preserve">Essais antérieurs au 02/02/2016 : </w:t>
      </w:r>
    </w:p>
    <w:p>
      <w:pPr>
        <w:pPr/>
        <w:numPr>
          <w:ilvl w:val="0"/>
          <w:numId w:val="9"/>
        </w:numPr>
      </w:pPr>
      <w:r>
        <w:rPr/>
        <w:t xml:space="preserve">essais : pas de nouveaux essais si le produit n’est pas modifié et si le rapport d’essais date de moins de 10 ans à la date d’examen de la demande en Groupe Spécialisé </w:t>
      </w:r>
    </w:p>
    <w:p>
      <w:pPr>
        <w:pPr/>
        <w:numPr>
          <w:ilvl w:val="0"/>
          <w:numId w:val="9"/>
        </w:numPr>
      </w:pPr>
      <w:r>
        <w:rPr/>
        <w:t xml:space="preserve">aptitude à l’emploi : à examiner selon la norme NF E51-776-2</w:t>
      </w:r>
    </w:p>
    <w:p>
      <w:pPr/>
      <w:r>
        <w:rPr/>
        <w:t xml:space="preserve">Essais réalisés entre le 02/02/2016 et la parution de la norme NF E51-776-1 définitive : </w:t>
      </w:r>
    </w:p>
    <w:p>
      <w:pPr>
        <w:pPr/>
        <w:numPr>
          <w:ilvl w:val="0"/>
          <w:numId w:val="10"/>
        </w:numPr>
      </w:pPr>
      <w:r>
        <w:rPr/>
        <w:t xml:space="preserve">essais : réalisés conformément au projet de norme pr NF E51-776-1 </w:t>
      </w:r>
    </w:p>
    <w:p>
      <w:pPr>
        <w:pPr/>
        <w:numPr>
          <w:ilvl w:val="0"/>
          <w:numId w:val="10"/>
        </w:numPr>
      </w:pPr>
      <w:r>
        <w:rPr/>
        <w:t xml:space="preserve">aptitude à l’emploi : à examiner selon la norme NF E51-776-2</w:t>
      </w:r>
    </w:p>
    <w:p>
      <w:pPr/>
      <w:r>
        <w:rPr/>
        <w:t xml:space="preserve">A partir de la parution de la norme NF E51-776-1 définitive : </w:t>
      </w:r>
    </w:p>
    <w:p>
      <w:pPr>
        <w:pPr/>
        <w:numPr>
          <w:ilvl w:val="0"/>
          <w:numId w:val="11"/>
        </w:numPr>
      </w:pPr>
      <w:r>
        <w:rPr/>
        <w:t xml:space="preserve">essais : réalisés conformément à la norme NF E51-776-1 </w:t>
      </w:r>
    </w:p>
    <w:p>
      <w:pPr>
        <w:pPr/>
        <w:numPr>
          <w:ilvl w:val="0"/>
          <w:numId w:val="11"/>
        </w:numPr>
      </w:pPr>
      <w:r>
        <w:rPr/>
        <w:t xml:space="preserve">aptitude à l’emploi : à examiner selon la norme NF E51-776-2</w:t>
      </w:r>
    </w:p>
    <w:p>
      <w:pPr/>
      <w:r>
        <w:rPr/>
        <w:t xml:space="preserve">Pour les accessoires de régulation de débit non situé dans la pièce ou le local au sens de la règlementation incendie, fournir des éléments de preuve relatifs au classement de réaction au feu des matériaux constitutifs du produit.</w:t>
      </w:r>
    </w:p>
    <w:p>
      <w:pPr/>
      <w:r>
        <w:rPr>
          <w:b/>
          <w:bCs/>
        </w:rPr>
        <w:t xml:space="preserve">Critères d'évaluation</w:t>
      </w:r>
    </w:p>
    <w:p>
      <w:pPr/>
      <w:r>
        <w:rPr/>
        <w:t xml:space="preserve">Pour les capteurs de présence possédant a priori des réglages sur chantier :</w:t>
      </w:r>
    </w:p>
    <w:p>
      <w:pPr>
        <w:pPr/>
        <w:numPr>
          <w:ilvl w:val="0"/>
          <w:numId w:val="12"/>
        </w:numPr>
      </w:pPr>
      <w:r>
        <w:rPr/>
        <w:t xml:space="preserve">paramètre n’affectant pas le fonctionnement du système objet de la demande d’Avis Technique : pas d’exigence sur son réglage et préciser dans le dossier technique qu’il n’est pas utilisé dans le système objet de la demande</w:t>
      </w:r>
    </w:p>
    <w:p>
      <w:pPr>
        <w:pPr/>
        <w:numPr>
          <w:ilvl w:val="0"/>
          <w:numId w:val="12"/>
        </w:numPr>
      </w:pPr>
      <w:r>
        <w:rPr/>
        <w:t xml:space="preserve">paramètre affectant le fonctionnement du système objet de la demande d’Avis Technique :</w:t>
      </w:r>
    </w:p>
    <w:p>
      <w:pPr>
        <w:pPr/>
        <w:numPr>
          <w:ilvl w:val="1"/>
          <w:numId w:val="12"/>
        </w:numPr>
      </w:pPr>
      <w:r>
        <w:rPr/>
        <w:t xml:space="preserve">temporisation : à figer en usine et devant être comprise entre 5 et 30 min</w:t>
      </w:r>
    </w:p>
    <w:p>
      <w:pPr>
        <w:pPr/>
        <w:numPr>
          <w:ilvl w:val="1"/>
          <w:numId w:val="12"/>
        </w:numPr>
      </w:pPr>
      <w:r>
        <w:rPr/>
        <w:t xml:space="preserve">autres réglages (type luminosité, angle, etc…) : à figer en usine selon le paramétrage mis en place pour l’essai en laboratoire indépendant</w:t>
      </w:r>
    </w:p>
    <w:p>
      <w:pPr>
        <w:pPr/>
        <w:numPr>
          <w:ilvl w:val="1"/>
          <w:numId w:val="12"/>
        </w:numPr>
      </w:pPr>
      <w:r>
        <w:rPr/>
        <w:t xml:space="preserve">de plus, tous ces paramétrages ne doivent pas pouvoir être modifiés manuellement ou par un moyen simple type tournevis</w:t>
      </w:r>
    </w:p>
    <w:p>
      <w:pPr/>
      <w:r>
        <w:rPr/>
        <w:t xml:space="preserve">Pour les installations de « ventilation de confort », le système doit respecter les paragraphes 1 et 2 de l’article CH32 du Règlement de sécurité incendie dans les ERP. Pour tout accessoire de régulation de débit non situé dans la pièce ou le local au sens de la règlementation incendie, vérifier le classement de réaction au feu des matériaux constitutifs du produit.</w:t>
      </w:r>
    </w:p>
    <w:p>
      <w:pPr/>
      <w:r>
        <w:rPr/>
        <w:t xml:space="preserve">Les débits mini/maxi couverts par la gamme de tout régulateur présent dans un Avis Technique de la famille doivent être compatibles avec les réductions de débit prévues et ceci quel que soit le débit sélectionné (= absence de « trous »).</w:t>
      </w:r>
    </w:p>
    <w:p>
      <w:pPr/>
      <w:r>
        <w:rPr/>
        <w:t xml:space="preserve">Pour tout capteur CO2, les essais doivent être tels que l’écart à chaque consigne (ou sur chaque plage de régulation) prévue dans le Dossier Technique soit inférieur ou égal à +/- 100 ppm.Cette exigence est applicable, pour chacun des 3 capteurs, par concentrations croissantes et par concentrations décroissantes. Elle est applicable à la consigne (ou à la plage de régulation) cible ; elle n’est pas applicable sur toute la droite d’étalonnage.</w:t>
      </w:r>
    </w:p>
    <w:p>
      <w:pPr/>
      <w:r>
        <w:rPr>
          <w:rStyle w:val="font_h1"/>
        </w:rPr>
        <w:t xml:space="preserve">5. Fabrication et contrôles</w:t>
      </w:r>
    </w:p>
    <w:p>
      <w:pPr/>
      <w:r>
        <w:rPr>
          <w:rStyle w:val="font_h1"/>
        </w:rPr>
        <w:t xml:space="preserve">6. Conception et dimensionnement</w:t>
      </w:r>
    </w:p>
    <w:p>
      <w:pPr>
        <w:ind w:left="720" w:right="0"/>
      </w:pPr>
      <w:r>
        <w:rPr>
          <w:rStyle w:val="font_h2"/>
        </w:rPr>
        <w:t xml:space="preserve">6.1. Généralités</w:t>
      </w:r>
    </w:p>
    <w:p>
      <w:pPr/>
      <w:r>
        <w:rPr/>
        <w:t xml:space="preserve">Validé par le Groupe Spécialisé le 05/02/2019</w:t>
      </w:r>
    </w:p>
    <w:p>
      <w:pPr/>
      <w:r>
        <w:rPr>
          <w:b/>
          <w:bCs/>
        </w:rPr>
        <w:t xml:space="preserve">Description</w:t>
      </w:r>
    </w:p>
    <w:p>
      <w:pPr/>
      <w:r>
        <w:rPr/>
        <w:t xml:space="preserve">Décrire la conception et le dimensionnement des systèmes.</w:t>
      </w:r>
    </w:p>
    <w:p>
      <w:pPr/>
      <w:r>
        <w:rPr>
          <w:b/>
          <w:bCs/>
        </w:rPr>
        <w:t xml:space="preserve">Critères d'évaluation</w:t>
      </w:r>
    </w:p>
    <w:p>
      <w:pPr/>
      <w:r>
        <w:rPr/>
        <w:t xml:space="preserve">Pour les systèmes « multizone / CO2 proportionnel / avec registre motorisé » :</w:t>
      </w:r>
    </w:p>
    <w:p>
      <w:pPr/>
      <w:r>
        <w:rPr/>
        <w:t xml:space="preserve">En l’absence de garantie sur le « Crdbnr » du fait de l’absence de maîtrise de la pression en amont du registre, tout système « multizones » de type « CO2 proportionnel » dont l’organe régulé est un registre proportionnel (associé ou non à un régulateur de débit en conduit autoréglable) aura un Crdbnr = 0,80 quel que soit le type de local (valeur par défaut dans les règlementations thermiques),</w:t>
      </w:r>
    </w:p>
    <w:p>
      <w:pPr>
        <w:ind w:left="720" w:right="0"/>
      </w:pPr>
      <w:r>
        <w:rPr>
          <w:rStyle w:val="font_h2"/>
        </w:rPr>
        <w:t xml:space="preserve">6.2. Système hygroréglable pour chambres d’hôtel</w:t>
      </w:r>
    </w:p>
    <w:p>
      <w:pPr/>
      <w:r>
        <w:rPr/>
        <w:t xml:space="preserve">Validé par le Groupe Spécialisé le 09/10/2018</w:t>
      </w:r>
    </w:p>
    <w:p>
      <w:pPr/>
      <w:r>
        <w:rPr>
          <w:b/>
          <w:bCs/>
        </w:rPr>
        <w:t xml:space="preserve">Description</w:t>
      </w:r>
    </w:p>
    <w:p>
      <w:pPr/>
      <w:r>
        <w:rPr/>
        <w:t xml:space="preserve">Décrire la conception et le dimensionnement du système.</w:t>
      </w:r>
    </w:p>
    <w:p>
      <w:pPr/>
      <w:r>
        <w:rPr>
          <w:b/>
          <w:bCs/>
        </w:rPr>
        <w:t xml:space="preserve">Justification</w:t>
      </w:r>
    </w:p>
    <w:p>
      <w:pPr/>
      <w:r>
        <w:rPr/>
        <w:t xml:space="preserve">Coefficient de dépassement et Crdbnr :</w:t>
      </w:r>
    </w:p>
    <w:p>
      <w:pPr>
        <w:pPr/>
        <w:numPr>
          <w:ilvl w:val="0"/>
          <w:numId w:val="13"/>
        </w:numPr>
      </w:pPr>
      <w:r>
        <w:rPr/>
        <w:t xml:space="preserve">Les coefficients « Cdep1 » et « Cdep2 » sont à calculer selon les mêmes dispositions qu’en bâtiment collectif d’habitation, à savoir selon le §.3 du document « GS14V/VMC-SF-HYGRO/Cdep_V0 » disponible sur le site internet de la CCFAT. Les systèmes hygroréglables pour chambres d’hôtel ne font pas l’objet d’une autre catégorie de coefficient de dépassement (type « Cdep3 »). </w:t>
      </w:r>
    </w:p>
    <w:p>
      <w:pPr>
        <w:pPr/>
        <w:numPr>
          <w:ilvl w:val="0"/>
          <w:numId w:val="13"/>
        </w:numPr>
      </w:pPr>
      <w:r>
        <w:rPr/>
        <w:t xml:space="preserve">Si une liste exhaustive de groupes d’extraction est définie, chacun de ces groupes d’extraction sera affecté de la valeur « Cdep1 » ou « Cdep2 ».</w:t>
      </w:r>
    </w:p>
    <w:p>
      <w:pPr>
        <w:pPr/>
        <w:numPr>
          <w:ilvl w:val="0"/>
          <w:numId w:val="13"/>
        </w:numPr>
      </w:pPr>
      <w:r>
        <w:rPr/>
        <w:t xml:space="preserve">Si une liste exhaustive de groupes d’extraction n'est pas définie, il sera précisé : </w:t>
      </w:r>
    </w:p>
    <w:p>
      <w:pPr>
        <w:pPr/>
        <w:numPr>
          <w:ilvl w:val="1"/>
          <w:numId w:val="13"/>
        </w:numPr>
      </w:pPr>
      <w:r>
        <w:rPr/>
        <w:t xml:space="preserve">« Cdep1 » en cas d’utilisation d’un groupe d’extraction non régulé (vitesse de rotation constante pour un réglage donné)</w:t>
      </w:r>
    </w:p>
    <w:p>
      <w:pPr>
        <w:pPr/>
        <w:numPr>
          <w:ilvl w:val="1"/>
          <w:numId w:val="13"/>
        </w:numPr>
      </w:pPr>
      <w:r>
        <w:rPr/>
        <w:t xml:space="preserve">« Cdep2 » en cas d’utilisation d’un groupe d’extraction régulé à pression constante au niveau du groupe (courbe « plate ») possédant au moins un réglage à 140 Pa ou moins </w:t>
      </w:r>
    </w:p>
    <w:p>
      <w:pPr>
        <w:pPr/>
        <w:numPr>
          <w:ilvl w:val="0"/>
          <w:numId w:val="13"/>
        </w:numPr>
      </w:pPr>
      <w:r>
        <w:rPr/>
        <w:t xml:space="preserve">Deux valeurs « Crdbnr1 » et « Crdbnr2 » seront associées respectivement aux valeurs de coefficient de dépassement « Cdep1 » et « Cdep2 ».</w:t>
      </w:r>
    </w:p>
    <w:p>
      <w:pPr/>
      <w:r>
        <w:rPr>
          <w:b/>
          <w:bCs/>
        </w:rPr>
        <w:t xml:space="preserve">Critères d'évaluation</w:t>
      </w:r>
    </w:p>
    <w:p>
      <w:pPr/>
      <w:r>
        <w:rPr/>
        <w:t xml:space="preserve">Salle de bains avec WC communs : toute SdB/WC doit être munie d’une bouche d’extraction hygroréglable temporisée, la valeur de ce débit temporisé doit être supérieure ou égale à 30 m3/h.</w:t>
      </w:r>
    </w:p>
    <w:p>
      <w:pPr/>
      <w:r>
        <w:rPr>
          <w:rStyle w:val="font_h1"/>
        </w:rPr>
        <w:t xml:space="preserve">7. Mise en oeuvre</w:t>
      </w:r>
    </w:p>
    <w:p>
      <w:pPr/>
      <w:r>
        <w:rPr/>
        <w:t xml:space="preserve">Validé par le Groupe Spécialisé le 05/02/2019</w:t>
      </w:r>
    </w:p>
    <w:p>
      <w:pPr/>
      <w:r>
        <w:rPr>
          <w:b/>
          <w:bCs/>
        </w:rPr>
        <w:t xml:space="preserve">Description</w:t>
      </w:r>
    </w:p>
    <w:p>
      <w:pPr/>
      <w:r>
        <w:rPr/>
        <w:t xml:space="preserve">Décrire la mise en oeuvre des systèmes</w:t>
      </w:r>
    </w:p>
    <w:p>
      <w:pPr/>
      <w:r>
        <w:rPr>
          <w:b/>
          <w:bCs/>
        </w:rPr>
        <w:t xml:space="preserve">Critères d'évaluation</w:t>
      </w:r>
    </w:p>
    <w:p>
      <w:pPr/>
      <w:r>
        <w:rPr/>
        <w:t xml:space="preserve">Capteur de présence en position murale :</w:t>
      </w:r>
    </w:p>
    <w:p>
      <w:pPr>
        <w:pPr/>
        <w:numPr>
          <w:ilvl w:val="0"/>
          <w:numId w:val="14"/>
        </w:numPr>
      </w:pPr>
      <w:r>
        <w:rPr/>
        <w:t xml:space="preserve">tout capteur de présence déporté ne peut pas être installé en position murale et ne peut donc être installé qu’au plafond (dans la mesure où le protocole d’essais défini en Annexe B des modalités d’instruction ne visent que le montage au plafond).</w:t>
      </w:r>
    </w:p>
    <w:p>
      <w:pPr>
        <w:pPr/>
        <w:numPr>
          <w:ilvl w:val="0"/>
          <w:numId w:val="14"/>
        </w:numPr>
      </w:pPr>
      <w:r>
        <w:rPr/>
        <w:t xml:space="preserve">cependant, si le capteur de présence est intégré au terminal (bouche d’extraction,…), la mise en oeuvre en position murale (montage vertical) est autorisée sous réserve de respecter les dispositions suivantes dans le Dossier Technique :</w:t>
      </w:r>
    </w:p>
    <w:p>
      <w:pPr>
        <w:pPr/>
        <w:numPr>
          <w:ilvl w:val="1"/>
          <w:numId w:val="14"/>
        </w:numPr>
      </w:pPr>
      <w:r>
        <w:rPr/>
        <w:t xml:space="preserve">local desservi inférieur ou égal à 20 m2,</w:t>
      </w:r>
    </w:p>
    <w:p>
      <w:pPr>
        <w:pPr/>
        <w:numPr>
          <w:ilvl w:val="1"/>
          <w:numId w:val="14"/>
        </w:numPr>
      </w:pPr>
      <w:r>
        <w:rPr/>
        <w:t xml:space="preserve">capteur : placé au plus proche de l’occupation, situé en partie basse du terminal et à une hauteur de 2,5 m environ</w:t>
      </w:r>
    </w:p>
    <w:p>
      <w:pPr/>
      <w:r>
        <w:rPr>
          <w:rStyle w:val="font_h1"/>
        </w:rPr>
        <w:t xml:space="preserve">8. Contrôles de réception</w:t>
      </w:r>
    </w:p>
    <w:p>
      <w:pPr/>
      <w:r>
        <w:rPr>
          <w:rStyle w:val="font_h1"/>
        </w:rPr>
        <w:t xml:space="preserve">9. Entretien et maintenance</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B14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9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B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0A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B1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D7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2026-07-10T20:16:30+02:00</dcterms:created>
  <dcterms:modified xsi:type="dcterms:W3CDTF">2026-07-10T20:16:30+02:00</dcterms:modified>
</cp:coreProperties>
</file>

<file path=docProps/custom.xml><?xml version="1.0" encoding="utf-8"?>
<Properties xmlns="http://schemas.openxmlformats.org/officeDocument/2006/custom-properties" xmlns:vt="http://schemas.openxmlformats.org/officeDocument/2006/docPropsVTypes"/>
</file>