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14.5 - Édité le 07/04/2026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14.5 « Equipements / Ventilation et systèmes par vecteur air »</w:t>
      </w:r>
    </w:p>
    <w:p>
      <w:pPr/>
      <w:r>
        <w:rPr>
          <w:rStyle w:val="font_default"/>
        </w:rPr>
        <w:t xml:space="preserve">Famille de produits ou procédés : </w:t>
      </w:r>
      <w:r>
        <w:rPr>
          <w:rStyle w:val="font_h3"/>
        </w:rPr>
        <w:t xml:space="preserve">Système de ventilation naturelle et hybride</w:t>
      </w:r>
    </w:p>
    <w:p>
      <w:pPr/>
      <w:r>
        <w:rPr>
          <w:rStyle w:val="font_h1"/>
        </w:rPr>
        <w:t xml:space="preserve">1. Principe</w:t>
      </w:r>
    </w:p>
    <w:p>
      <w:pPr/>
      <w:r>
        <w:rPr>
          <w:rStyle w:val="font_h1"/>
        </w:rPr>
        <w:t xml:space="preserve">2. Domaine d'emploi</w:t>
      </w:r>
    </w:p>
    <w:p>
      <w:pPr/>
      <w:r>
        <w:rPr/>
        <w:t xml:space="preserve">Validé par le Groupe Spécialisé le 18/06/2024</w:t>
      </w:r>
    </w:p>
    <w:p>
      <w:pPr/>
      <w:r>
        <w:rPr>
          <w:b/>
          <w:bCs/>
        </w:rPr>
        <w:t xml:space="preserve">Description</w:t>
      </w:r>
    </w:p>
    <w:p>
      <w:pPr/>
      <w:r>
        <w:rPr/>
        <w:t xml:space="preserve">Le domaine d'emploi des procédés de la famille peut couvrir les travaux :</w:t>
      </w:r>
    </w:p>
    <w:p>
      <w:pPr>
        <w:pPr/>
        <w:numPr>
          <w:ilvl w:val="0"/>
          <w:numId w:val="9"/>
        </w:numPr>
      </w:pPr>
      <w:r>
        <w:rPr/>
        <w:t xml:space="preserve">ne relevant pas de l’arrêté du 24 mars 1982 modifié relatif à l’aération des logements, </w:t>
      </w:r>
    </w:p>
    <w:p>
      <w:pPr>
        <w:pPr/>
        <w:numPr>
          <w:ilvl w:val="0"/>
          <w:numId w:val="9"/>
        </w:numPr>
      </w:pPr>
      <w:r>
        <w:rPr/>
        <w:t xml:space="preserve">exécutés dans des bâtiments d’habitation collective hormis les IGH (Immeuble de Grande Hauteur) équipés de conduits existants de fumée et/ou de ventilation naturelle, individuels ou collectifs :</w:t>
      </w:r>
    </w:p>
    <w:p>
      <w:pPr>
        <w:pPr/>
        <w:numPr>
          <w:ilvl w:val="1"/>
          <w:numId w:val="9"/>
        </w:numPr>
      </w:pPr>
      <w:r>
        <w:rPr/>
        <w:t xml:space="preserve">de type « shunts » avec raccordement individuel de hauteur d’étage,</w:t>
      </w:r>
    </w:p>
    <w:p>
      <w:pPr>
        <w:pPr/>
        <w:numPr>
          <w:ilvl w:val="1"/>
          <w:numId w:val="9"/>
        </w:numPr>
      </w:pPr>
      <w:r>
        <w:rPr/>
        <w:t xml:space="preserve">de type « Alsace »,</w:t>
      </w:r>
    </w:p>
    <w:p>
      <w:pPr>
        <w:pPr/>
        <w:numPr>
          <w:ilvl w:val="1"/>
          <w:numId w:val="9"/>
        </w:numPr>
      </w:pPr>
      <w:r>
        <w:rPr/>
        <w:t xml:space="preserve">circulaires métalliques avec piquage 90°.</w:t>
      </w:r>
    </w:p>
    <w:p>
      <w:pPr/>
      <w:r>
        <w:rPr/>
        <w:t xml:space="preserve">Dans le cas ou le domaine d'emploi prévoit le raccordement à des conduits collectifs de fumée raccordés à des appareils à gaz de type B1, les dispositions suivantes doivent être respectées :</w:t>
      </w:r>
    </w:p>
    <w:p>
      <w:pPr>
        <w:pPr/>
        <w:numPr>
          <w:ilvl w:val="0"/>
          <w:numId w:val="10"/>
        </w:numPr>
      </w:pPr>
      <w:r>
        <w:rPr/>
        <w:t xml:space="preserve">les matériaux utilisables pour les extracteurs sont de même nature que pour les produits traditionnels couverts par le DTU 24.1 et les Avis Techniques du GS 14.2 (aluminium de qualité A5, inox 304 notamment)</w:t>
      </w:r>
    </w:p>
    <w:p>
      <w:pPr>
        <w:pPr/>
        <w:numPr>
          <w:ilvl w:val="0"/>
          <w:numId w:val="10"/>
        </w:numPr>
      </w:pPr>
      <w:r>
        <w:rPr/>
        <w:t xml:space="preserve">le système peut desservir des conduits raccordés à des appareils à gaz de type B11AS, B11BS,  B13AS et B13BS</w:t>
      </w:r>
    </w:p>
    <w:p>
      <w:pPr>
        <w:pPr/>
        <w:numPr>
          <w:ilvl w:val="0"/>
          <w:numId w:val="10"/>
        </w:numPr>
      </w:pPr>
      <w:r>
        <w:rPr/>
        <w:t xml:space="preserve">les regroupements de conduits de fumée collectifs existants, datant d’avant 2006, peuvent être conservés si ce regroupement est conforme aux dispositions prévues dans les règles ATG B84 applicables jusqu'à cette date.</w:t>
      </w:r>
    </w:p>
    <w:p>
      <w:pPr/>
      <w:r>
        <w:rPr>
          <w:rStyle w:val="font_h1"/>
        </w:rPr>
        <w:t xml:space="preserve">3. Composants</w:t>
      </w:r>
    </w:p>
    <w:p>
      <w:pPr/>
      <w:r>
        <w:rPr>
          <w:rStyle w:val="font_h1"/>
        </w:rPr>
        <w:t xml:space="preserve">4. Fabrication et contrôles</w:t>
      </w:r>
    </w:p>
    <w:p>
      <w:pPr/>
      <w:r>
        <w:rPr>
          <w:rStyle w:val="font_h1"/>
        </w:rPr>
        <w:t xml:space="preserve">5. Diagnostics préalables</w:t>
      </w:r>
    </w:p>
    <w:p>
      <w:pPr/>
      <w:r>
        <w:rPr>
          <w:rStyle w:val="font_h1"/>
        </w:rPr>
        <w:t xml:space="preserve">6. Conception et dimensionnement</w:t>
      </w:r>
    </w:p>
    <w:p>
      <w:pPr>
        <w:ind w:left="720" w:right="0"/>
      </w:pPr>
      <w:r>
        <w:rPr>
          <w:rStyle w:val="font_h2"/>
        </w:rPr>
        <w:t xml:space="preserve">6.1. Conception</w:t>
      </w:r>
    </w:p>
    <w:p>
      <w:pPr/>
      <w:r>
        <w:rPr/>
        <w:t xml:space="preserve">Validé par le Groupe Spécialisé le 02/12/2020</w:t>
      </w:r>
    </w:p>
    <w:p>
      <w:pPr/>
      <w:r>
        <w:rPr>
          <w:b/>
          <w:bCs/>
        </w:rPr>
        <w:t xml:space="preserve">Description</w:t>
      </w:r>
    </w:p>
    <w:p>
      <w:pPr/>
      <w:r>
        <w:rPr/>
        <w:t xml:space="preserve">Traitement des celliers dans l'habitat existant (définis comme une pièce technique sans point d'eau)  :</w:t>
      </w:r>
    </w:p>
    <w:p>
      <w:pPr/>
      <w:r>
        <w:rPr/>
        <w:t xml:space="preserve">•   si le cellier était muni d’une ventilation, la mise en oeuvre d’une bouche d’extraction est nécessaire</w:t>
      </w:r>
    </w:p>
    <w:p>
      <w:pPr/>
      <w:r>
        <w:rPr/>
        <w:t xml:space="preserve">•   si le cellier n’était pas muni d’une ventilation, la mise en oeuvre d’une bouche d’extraction est optionnelle.</w:t>
      </w:r>
    </w:p>
    <w:p>
      <w:pPr/>
      <w:r>
        <w:rPr/>
        <w:t xml:space="preserve">Dans le cas d’un cellier avec point d’eau : la pièce est à considérer comme une « pièce d’eau »  et donc avec obligation de traiter cette pièce (mise en place d’une bouche d’extraction).</w:t>
      </w:r>
    </w:p>
    <w:p>
      <w:pPr>
        <w:ind w:left="720" w:right="0"/>
      </w:pPr>
      <w:r>
        <w:rPr>
          <w:rStyle w:val="font_h2"/>
        </w:rPr>
        <w:t xml:space="preserve">6.2. Qualité d'air intérieur et données d'entrée thermique</w:t>
      </w:r>
    </w:p>
    <w:p>
      <w:pPr/>
      <w:r>
        <w:rPr/>
        <w:t xml:space="preserve">Validé par le Groupe Spécialisé le 15/12/2020</w:t>
      </w:r>
    </w:p>
    <w:p>
      <w:pPr/>
      <w:r>
        <w:rPr>
          <w:b/>
          <w:bCs/>
        </w:rPr>
        <w:t xml:space="preserve">Description</w:t>
      </w:r>
    </w:p>
    <w:p>
      <w:pPr/>
      <w:r>
        <w:rPr/>
        <w:t xml:space="preserve">Pour les systèmes hygroréglables, justifier la performance du système en terme de QAI et fournir ses données d'entrée thermique.</w:t>
      </w:r>
    </w:p>
    <w:p>
      <w:pPr/>
      <w:r>
        <w:rPr>
          <w:b/>
          <w:bCs/>
        </w:rPr>
        <w:t xml:space="preserve">Justification</w:t>
      </w:r>
    </w:p>
    <w:p>
      <w:pPr/>
      <w:r>
        <w:rPr/>
        <w:t xml:space="preserve">Pour les systèmes hygroréglables, fournir des calculs justifiant la QAI et fournissant les données d'entrée du calcul thermique règlementaire.</w:t>
      </w:r>
    </w:p>
    <w:p>
      <w:pPr/>
      <w:r>
        <w:rPr/>
        <w:t xml:space="preserve">Les calculs MATHIS sont réalisés avec la version disponible sous la licence libre GNU LGPL V3, dans la branche master du dépôt suivant : </w:t>
      </w:r>
      <w:hyperlink r:id="rId7" w:history="1">
        <w:r>
          <w:rPr/>
          <w:t xml:space="preserve">https://gitlab.com/CSTB/mathis</w:t>
        </w:r>
      </w:hyperlink>
    </w:p>
    <w:p>
      <w:pPr/>
      <w:r>
        <w:rPr>
          <w:rStyle w:val="font_h1"/>
        </w:rPr>
        <w:t xml:space="preserve">7. Mise en oeuvre</w:t>
      </w:r>
    </w:p>
    <w:p>
      <w:pPr/>
      <w:r>
        <w:rPr>
          <w:rStyle w:val="font_h1"/>
        </w:rPr>
        <w:t xml:space="preserve">8. Réglages de l'installation</w:t>
      </w:r>
    </w:p>
    <w:p>
      <w:pPr/>
      <w:r>
        <w:rPr>
          <w:rStyle w:val="font_h1"/>
        </w:rPr>
        <w:t xml:space="preserve">9. Entretien et maintenance</w:t>
      </w:r>
    </w:p>
    <w:p>
      <w:pPr/>
      <w:r>
        <w:rPr>
          <w:rStyle w:val="font_h1"/>
        </w:rPr>
        <w:t xml:space="preserve">10. Exploitation commerciale et assistance technique</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901A8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727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itlab.com/CSTB/mathis" TargetMode="External"/><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2026-04-07T04:19:09+02:00</dcterms:created>
  <dcterms:modified xsi:type="dcterms:W3CDTF">2026-04-07T04:19:09+02:00</dcterms:modified>
</cp:coreProperties>
</file>

<file path=docProps/custom.xml><?xml version="1.0" encoding="utf-8"?>
<Properties xmlns="http://schemas.openxmlformats.org/officeDocument/2006/custom-properties" xmlns:vt="http://schemas.openxmlformats.org/officeDocument/2006/docPropsVTypes"/>
</file>