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Style w:val="font_default"/>
        </w:rPr>
        <w:t xml:space="preserve">Document entériné par le Groupe Spécialisé n° 2.2 - Édité le 24/05/2026</w:t>
      </w:r>
    </w:p>
    <w:p>
      <w:pPr>
        <w:pStyle w:val="paragraph_centered"/>
      </w:pPr>
      <w:r>
        <w:rPr>
          <w:rStyle w:val="font_h1"/>
        </w:rPr>
        <w:t xml:space="preserve">Liste minimale des éléments habituellement demandés par le Groupe Spécialisé</w:t>
      </w:r>
    </w:p>
    <w:p>
      <w:pPr/>
      <w:r>
        <w:rPr>
          <w:rStyle w:val="font_h2"/>
        </w:rPr>
        <w:t xml:space="preserve">Groupe Spécialisé n° 2.2 « Produits et procédés de bardage rapporté, vêtage et vêture »</w:t>
      </w:r>
    </w:p>
    <w:p>
      <w:pPr/>
      <w:r>
        <w:rPr>
          <w:rStyle w:val="font_default"/>
        </w:rPr>
        <w:t xml:space="preserve">Famille de produits ou procédés : </w:t>
      </w:r>
      <w:r>
        <w:rPr>
          <w:rStyle w:val="font_h3"/>
        </w:rPr>
        <w:t xml:space="preserve">Vêture - vêtage en terre-cuite sur support bois</w:t>
      </w:r>
    </w:p>
    <w:p>
      <w:pPr/>
      <w:r>
        <w:rPr>
          <w:rStyle w:val="font_h1"/>
        </w:rPr>
        <w:t xml:space="preserve">1. Domaine d'emploi</w:t>
      </w:r>
    </w:p>
    <w:p>
      <w:pPr/>
      <w:r>
        <w:rPr/>
        <w:t xml:space="preserve">Validé par le Groupe Spécialisé le 18/05/2021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Préciser pour le procédé objet de la demande : </w:t>
      </w:r>
    </w:p>
    <w:p>
      <w:pPr>
        <w:pPr/>
        <w:numPr>
          <w:ilvl w:val="0"/>
          <w:numId w:val="9"/>
        </w:numPr>
      </w:pPr>
      <w:r>
        <w:rPr/>
        <w:t xml:space="preserve">Nature des travaux : neuf, rénovation  </w:t>
      </w:r>
    </w:p>
    <w:p>
      <w:pPr>
        <w:pPr/>
        <w:numPr>
          <w:ilvl w:val="0"/>
          <w:numId w:val="9"/>
        </w:numPr>
      </w:pPr>
      <w:r>
        <w:rPr/>
        <w:t xml:space="preserve">Type de bâtiments visés : ERP, habitation, Code du Travail</w:t>
      </w:r>
    </w:p>
    <w:p>
      <w:pPr>
        <w:pPr/>
        <w:numPr>
          <w:ilvl w:val="0"/>
          <w:numId w:val="9"/>
        </w:numPr>
      </w:pPr>
      <w:r>
        <w:rPr/>
        <w:t xml:space="preserve">Type de supports visés : Constructions à Ossature Bois conformes au NF DTU 31.2 et NF DTU 31.4, paroi de CLT sous Avis Technique: dans les cas suivants :de 10 à 18 m de hauteur (+ pointe de pignon) en zones de vent 1, 2 et 3 en situations a, b et c,de 6 à 10 m de hauteur (+ pointe de pignon) en zones de vent 1 à 4 en situation d,</w:t>
      </w:r>
    </w:p>
    <w:p>
      <w:pPr>
        <w:pPr/>
        <w:numPr>
          <w:ilvl w:val="0"/>
          <w:numId w:val="9"/>
        </w:numPr>
      </w:pPr>
      <w:r>
        <w:rPr/>
        <w:t xml:space="preserve">Le cas échéant, le type d'ossatures visées : bois, acier, aluminium</w:t>
      </w:r>
    </w:p>
    <w:p>
      <w:pPr/>
      <w:r>
        <w:rPr>
          <w:b/>
          <w:bCs/>
        </w:rPr>
        <w:t xml:space="preserve">Justification</w:t>
      </w:r>
    </w:p>
    <w:p>
      <w:pPr/>
      <w:r>
        <w:rPr/>
        <w:t xml:space="preserve">Fournir les rapports d'essais (essais réalisés par tierce partie) concernant :</w:t>
      </w:r>
    </w:p>
    <w:p>
      <w:pPr>
        <w:pPr/>
        <w:numPr>
          <w:ilvl w:val="0"/>
          <w:numId w:val="10"/>
        </w:numPr>
      </w:pPr>
      <w:r>
        <w:rPr/>
        <w:t xml:space="preserve">les chocs de conservation de performances selon la P08-302 et le Cahier du CSTB 3534</w:t>
      </w:r>
    </w:p>
    <w:p>
      <w:pPr>
        <w:pPr/>
        <w:numPr>
          <w:ilvl w:val="0"/>
          <w:numId w:val="10"/>
        </w:numPr>
      </w:pPr>
      <w:r>
        <w:rPr/>
        <w:t xml:space="preserve">les performances vis-à-vis des charges de vent en dépression selon le Cahier du CSTB 3517</w:t>
      </w:r>
    </w:p>
    <w:p>
      <w:pPr>
        <w:pPr/>
        <w:numPr>
          <w:ilvl w:val="0"/>
          <w:numId w:val="10"/>
        </w:numPr>
      </w:pPr>
      <w:r>
        <w:rPr/>
        <w:t xml:space="preserve">la réaction au feu et PCS</w:t>
      </w:r>
    </w:p>
    <w:p>
      <w:pPr>
        <w:pPr/>
        <w:numPr>
          <w:ilvl w:val="0"/>
          <w:numId w:val="10"/>
        </w:numPr>
      </w:pPr>
      <w:r>
        <w:rPr/>
        <w:t xml:space="preserve">la flèche maximale du procédé selon EAD 040914 00-0404 Annexe I</w:t>
      </w:r>
    </w:p>
    <w:p>
      <w:pPr>
        <w:pPr/>
        <w:numPr>
          <w:ilvl w:val="0"/>
          <w:numId w:val="10"/>
        </w:numPr>
      </w:pPr>
      <w:r>
        <w:rPr/>
        <w:t xml:space="preserve">absence de risques de condensation dans la paroi</w:t>
      </w:r>
    </w:p>
    <w:p>
      <w:pPr>
        <w:pPr/>
        <w:numPr>
          <w:ilvl w:val="0"/>
          <w:numId w:val="10"/>
        </w:numPr>
      </w:pPr>
      <w:r>
        <w:rPr/>
        <w:t xml:space="preserve">si pose en zones sismiques, campagne d'essais sismiques selon Cahier 3725</w:t>
      </w:r>
    </w:p>
    <w:p>
      <w:pPr/>
      <w:r>
        <w:rPr>
          <w:rStyle w:val="font_h1"/>
        </w:rPr>
        <w:t xml:space="preserve">2. Eléments</w:t>
      </w:r>
    </w:p>
    <w:p>
      <w:pPr>
        <w:ind w:left="720" w:right="0"/>
      </w:pPr>
      <w:r>
        <w:rPr>
          <w:rStyle w:val="font_h2"/>
        </w:rPr>
        <w:t xml:space="preserve">2.1. Parements de veture/vetage</w:t>
      </w:r>
    </w:p>
    <w:p>
      <w:pPr/>
      <w:r>
        <w:rPr/>
        <w:t xml:space="preserve">Validé par le Groupe Spécialisé le 18/05/2021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Indiquer : </w:t>
      </w:r>
    </w:p>
    <w:p>
      <w:pPr>
        <w:pPr/>
        <w:numPr>
          <w:ilvl w:val="0"/>
          <w:numId w:val="11"/>
        </w:numPr>
      </w:pPr>
      <w:r>
        <w:rPr/>
        <w:t xml:space="preserve">Formats standards de fabrication</w:t>
      </w:r>
    </w:p>
    <w:p>
      <w:pPr>
        <w:pPr/>
        <w:numPr>
          <w:ilvl w:val="0"/>
          <w:numId w:val="11"/>
        </w:numPr>
      </w:pPr>
      <w:r>
        <w:rPr/>
        <w:t xml:space="preserve">Epaisseurs</w:t>
      </w:r>
    </w:p>
    <w:p>
      <w:pPr>
        <w:pPr/>
        <w:numPr>
          <w:ilvl w:val="0"/>
          <w:numId w:val="11"/>
        </w:numPr>
      </w:pPr>
      <w:r>
        <w:rPr/>
        <w:t xml:space="preserve">Tolérances dimensionnelles des éléments standards de fabrication</w:t>
      </w:r>
    </w:p>
    <w:p>
      <w:pPr>
        <w:pPr/>
        <w:numPr>
          <w:ilvl w:val="0"/>
          <w:numId w:val="11"/>
        </w:numPr>
      </w:pPr>
      <w:r>
        <w:rPr/>
        <w:t xml:space="preserve">Tolérances dimensionnelles sur éléments découpés au format</w:t>
      </w:r>
    </w:p>
    <w:p>
      <w:pPr>
        <w:pPr/>
        <w:numPr>
          <w:ilvl w:val="0"/>
          <w:numId w:val="11"/>
        </w:numPr>
      </w:pPr>
      <w:r>
        <w:rPr/>
        <w:t xml:space="preserve">Masses surfaciques nominales</w:t>
      </w:r>
    </w:p>
    <w:p>
      <w:pPr>
        <w:pPr/>
        <w:numPr>
          <w:ilvl w:val="0"/>
          <w:numId w:val="11"/>
        </w:numPr>
      </w:pPr>
      <w:r>
        <w:rPr/>
        <w:t xml:space="preserve">Coloris</w:t>
      </w:r>
    </w:p>
    <w:p>
      <w:pPr/>
      <w:r>
        <w:rPr/>
        <w:t xml:space="preserve">Indiquer si le parement de bardage fait l'objet d'une Déclaration Environnementale (DE) et si oui la transmettre.</w:t>
      </w:r>
    </w:p>
    <w:p>
      <w:pPr/>
      <w:r>
        <w:rPr/>
        <w:t xml:space="preserve">Indiquer les conditions de stockage des parements.</w:t>
      </w:r>
    </w:p>
    <w:p>
      <w:pPr/>
      <w:r>
        <w:rPr>
          <w:b/>
          <w:bCs/>
        </w:rPr>
        <w:t xml:space="preserve">Justification</w:t>
      </w:r>
    </w:p>
    <w:p>
      <w:pPr/>
      <w:r>
        <w:rPr/>
        <w:t xml:space="preserve">Fournir les rapports d'essais concernant : </w:t>
      </w:r>
    </w:p>
    <w:p>
      <w:pPr>
        <w:pPr/>
        <w:numPr>
          <w:ilvl w:val="0"/>
          <w:numId w:val="12"/>
        </w:numPr>
      </w:pPr>
      <w:r>
        <w:rPr/>
        <w:t xml:space="preserve">les caractéristiques mécaniques du parement (module de flexion, coefficient de dilatation hydrique et/ou thermique ... )</w:t>
      </w:r>
    </w:p>
    <w:p>
      <w:pPr>
        <w:pPr/>
        <w:numPr>
          <w:ilvl w:val="0"/>
          <w:numId w:val="12"/>
        </w:numPr>
      </w:pPr>
      <w:r>
        <w:rPr/>
        <w:t xml:space="preserve">la durabilité du parement </w:t>
      </w:r>
    </w:p>
    <w:p>
      <w:pPr>
        <w:pPr/>
        <w:numPr>
          <w:ilvl w:val="0"/>
          <w:numId w:val="12"/>
        </w:numPr>
      </w:pPr>
      <w:r>
        <w:rPr/>
        <w:t xml:space="preserve">la durabilité des finitions du parement</w:t>
      </w:r>
    </w:p>
    <w:p>
      <w:pPr>
        <w:ind w:left="720" w:right="0"/>
      </w:pPr>
      <w:r>
        <w:rPr>
          <w:rStyle w:val="font_h2"/>
        </w:rPr>
        <w:t xml:space="preserve">2.2. Fixations</w:t>
      </w:r>
    </w:p>
    <w:p>
      <w:pPr/>
      <w:r>
        <w:rPr/>
        <w:t xml:space="preserve">Validé par le Groupe Spécialisé le 18/05/2021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Indiquer la nature, les dimensions et les performances  mécaniques (arrachement, cisaillement, moment de flexion maxi) et de durabilité des fixations.</w:t>
      </w:r>
    </w:p>
    <w:p>
      <w:pPr/>
      <w:r>
        <w:rPr>
          <w:b/>
          <w:bCs/>
        </w:rPr>
        <w:t xml:space="preserve">Justification</w:t>
      </w:r>
    </w:p>
    <w:p>
      <w:pPr/>
      <w:r>
        <w:rPr/>
        <w:t xml:space="preserve">Fournir les fiches techniques des fixations.</w:t>
      </w:r>
    </w:p>
    <w:p>
      <w:pPr>
        <w:ind w:left="720" w:right="0"/>
      </w:pPr>
      <w:r>
        <w:rPr>
          <w:rStyle w:val="font_h2"/>
        </w:rPr>
        <w:t xml:space="preserve">2.3. Ossature</w:t>
      </w:r>
    </w:p>
    <w:p>
      <w:pPr>
        <w:ind w:left="1440" w:right="0"/>
      </w:pPr>
      <w:r>
        <w:rPr>
          <w:rStyle w:val="font_h3"/>
        </w:rPr>
        <w:t xml:space="preserve">2.3.1. Ossature bois</w:t>
      </w:r>
    </w:p>
    <w:p>
      <w:pPr/>
      <w:r>
        <w:rPr/>
        <w:t xml:space="preserve">Validé par le Groupe Spécialisé le 18/05/2021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Décrire l'ossature (le cas échéant).</w:t>
      </w:r>
    </w:p>
    <w:p>
      <w:pPr>
        <w:ind w:left="1440" w:right="0"/>
      </w:pPr>
      <w:r>
        <w:rPr>
          <w:rStyle w:val="font_h3"/>
        </w:rPr>
        <w:t xml:space="preserve">2.3.2. Ossature métallique</w:t>
      </w:r>
    </w:p>
    <w:p>
      <w:pPr/>
      <w:r>
        <w:rPr/>
        <w:t xml:space="preserve">Validé par le Groupe Spécialisé le 18/05/2021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Décrire l'ossature, le cas échéant.</w:t>
      </w:r>
    </w:p>
    <w:p>
      <w:pPr>
        <w:ind w:left="720" w:right="0"/>
      </w:pPr>
      <w:r>
        <w:rPr>
          <w:rStyle w:val="font_h2"/>
        </w:rPr>
        <w:t xml:space="preserve">2.4. Isolant</w:t>
      </w:r>
    </w:p>
    <w:p>
      <w:pPr/>
      <w:r>
        <w:rPr/>
        <w:t xml:space="preserve">Validé par le Groupe Spécialisé le 18/05/2021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Indiquer les caractéristiques de l'isolant.</w:t>
      </w:r>
    </w:p>
    <w:p>
      <w:pPr/>
      <w:r>
        <w:rPr>
          <w:b/>
          <w:bCs/>
        </w:rPr>
        <w:t xml:space="preserve">Justification</w:t>
      </w:r>
    </w:p>
    <w:p>
      <w:pPr/>
      <w:r>
        <w:rPr/>
        <w:t xml:space="preserve">Apporter la preuve de la constance de qualité de fabrication de l'isolant par tierce partie. Indiquer les valeurs certifiées des caractéristiques pertinentes.</w:t>
      </w:r>
    </w:p>
    <w:p>
      <w:pPr/>
      <w:r>
        <w:rPr>
          <w:b/>
          <w:bCs/>
        </w:rPr>
        <w:t xml:space="preserve">Critères d'évaluation</w:t>
      </w:r>
    </w:p>
    <w:p>
      <w:pPr/>
      <w:r>
        <w:rPr/>
        <w:t xml:space="preserve">L'isolant de la veture/vetage doit justifier d'une incompressibilité "I3" du classement ISOLE (certification ACERMI) ou équivalente.L'avis technique précisera si possibilité de poser sur une isolation préalable et les exigences associées à cet isolant existant (incompressibilité, diagnostic, etc.).</w:t>
      </w:r>
    </w:p>
    <w:p>
      <w:pPr>
        <w:ind w:left="720" w:right="0"/>
      </w:pPr>
      <w:r>
        <w:rPr>
          <w:rStyle w:val="font_h2"/>
        </w:rPr>
        <w:t xml:space="preserve">2.5. Accessoires</w:t>
      </w:r>
    </w:p>
    <w:p>
      <w:pPr/>
      <w:r>
        <w:rPr/>
        <w:t xml:space="preserve">Validé par le Groupe Spécialisé le 18/05/2021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Décrire la nature et les dimensions des accessoires.</w:t>
      </w:r>
    </w:p>
    <w:p>
      <w:pPr/>
      <w:r>
        <w:rPr>
          <w:rStyle w:val="font_h1"/>
        </w:rPr>
        <w:t xml:space="preserve">3. Fabrication</w:t>
      </w:r>
    </w:p>
    <w:p>
      <w:pPr/>
      <w:r>
        <w:rPr/>
        <w:t xml:space="preserve">Validé par le Groupe Spécialisé le 18/05/2021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Lister la ou les usines de fabrication. </w:t>
      </w:r>
    </w:p>
    <w:p>
      <w:pPr/>
      <w:r>
        <w:rPr/>
        <w:t xml:space="preserve">Décrire les différentes étapes de fabrication du produit.</w:t>
      </w:r>
    </w:p>
    <w:p>
      <w:pPr/>
      <w:r>
        <w:rPr>
          <w:b/>
          <w:bCs/>
        </w:rPr>
        <w:t xml:space="preserve">Critères d'évaluation</w:t>
      </w:r>
    </w:p>
    <w:p>
      <w:pPr/>
      <w:r>
        <w:rPr/>
        <w:t xml:space="preserve">Dans le cadre de l'instruction, une visite d'usine pourra éventuellement être organisée pour comprendre le process de fabrication.</w:t>
      </w:r>
    </w:p>
    <w:p>
      <w:pPr/>
      <w:r>
        <w:rPr>
          <w:rStyle w:val="font_h1"/>
        </w:rPr>
        <w:t xml:space="preserve">4. Contrôles de fabrication</w:t>
      </w:r>
    </w:p>
    <w:p>
      <w:pPr/>
      <w:r>
        <w:rPr/>
        <w:t xml:space="preserve">Validé par le Groupe Spécialisé le 18/05/2021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Décrire les contrôles sur : </w:t>
      </w:r>
    </w:p>
    <w:p>
      <w:pPr>
        <w:pPr/>
        <w:numPr>
          <w:ilvl w:val="0"/>
          <w:numId w:val="13"/>
        </w:numPr>
      </w:pPr>
      <w:r>
        <w:rPr/>
        <w:t xml:space="preserve">les matières premières </w:t>
      </w:r>
    </w:p>
    <w:p>
      <w:pPr>
        <w:pPr/>
        <w:numPr>
          <w:ilvl w:val="0"/>
          <w:numId w:val="13"/>
        </w:numPr>
      </w:pPr>
      <w:r>
        <w:rPr/>
        <w:t xml:space="preserve">le produit en cours de fabrication </w:t>
      </w:r>
    </w:p>
    <w:p>
      <w:pPr>
        <w:pPr/>
        <w:numPr>
          <w:ilvl w:val="0"/>
          <w:numId w:val="13"/>
        </w:numPr>
      </w:pPr>
      <w:r>
        <w:rPr/>
        <w:t xml:space="preserve">le produit fini</w:t>
      </w:r>
    </w:p>
    <w:p>
      <w:pPr/>
      <w:r>
        <w:rPr>
          <w:b/>
          <w:bCs/>
        </w:rPr>
        <w:t xml:space="preserve">Justification</w:t>
      </w:r>
    </w:p>
    <w:p>
      <w:pPr/>
      <w:r>
        <w:rPr/>
        <w:t xml:space="preserve">Apporter la preuve de la constance de qualité de fabrication des produits par tierce partie (certification, suivi ...).Indiquer les valeurs certifiées des caractéristiques pertinentes.</w:t>
      </w:r>
    </w:p>
    <w:p>
      <w:pPr/>
      <w:r>
        <w:rPr>
          <w:rStyle w:val="font_h1"/>
        </w:rPr>
        <w:t xml:space="preserve">5. Fourniture et assistance technique</w:t>
      </w:r>
    </w:p>
    <w:p>
      <w:pPr/>
      <w:r>
        <w:rPr/>
        <w:t xml:space="preserve">Validé par le Groupe Spécialisé le 18/05/2021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Préciser les éléments fournis par le titulaire de l'Avis Technique. </w:t>
      </w:r>
    </w:p>
    <w:p>
      <w:pPr/>
      <w:r>
        <w:rPr/>
        <w:t xml:space="preserve">Indiquer les coordonnées de la personne et/ou société qui assure l'assistance technique en français auprès des entreprises de pose.</w:t>
      </w:r>
    </w:p>
    <w:p>
      <w:pPr/>
      <w:r>
        <w:rPr>
          <w:rStyle w:val="font_h1"/>
        </w:rPr>
        <w:t xml:space="preserve">6. Mise en oeuvre de l'isolation thermique et de l'ossature</w:t>
      </w:r>
    </w:p>
    <w:p>
      <w:pPr>
        <w:ind w:left="720" w:right="0"/>
      </w:pPr>
      <w:r>
        <w:rPr>
          <w:rStyle w:val="font_h2"/>
        </w:rPr>
        <w:t xml:space="preserve">6.1. Isolation thermique</w:t>
      </w:r>
    </w:p>
    <w:p>
      <w:pPr/>
      <w:r>
        <w:rPr/>
        <w:t xml:space="preserve">Validé par le Groupe Spécialisé le 18/05/2021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Décrire la mise en œuvre de l'éventuelle isolation préalable.</w:t>
      </w:r>
    </w:p>
    <w:p>
      <w:pPr>
        <w:ind w:left="720" w:right="0"/>
      </w:pPr>
      <w:r>
        <w:rPr>
          <w:rStyle w:val="font_h2"/>
        </w:rPr>
        <w:t xml:space="preserve">6.2. Ossature bois (le cas échéant)</w:t>
      </w:r>
    </w:p>
    <w:p>
      <w:pPr/>
      <w:r>
        <w:rPr/>
        <w:t xml:space="preserve">Validé par le Groupe Spécialisé le 18/05/2021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Décrire la mise en œuvre.Dans le cas du DTU 31.4, décrire comment franchir les joints de FOB</w:t>
      </w:r>
    </w:p>
    <w:p>
      <w:pPr>
        <w:ind w:left="720" w:right="0"/>
      </w:pPr>
      <w:r>
        <w:rPr>
          <w:rStyle w:val="font_h2"/>
        </w:rPr>
        <w:t xml:space="preserve">6.3. Ossature métallique (le cas échéant)</w:t>
      </w:r>
    </w:p>
    <w:p>
      <w:pPr/>
      <w:r>
        <w:rPr/>
        <w:t xml:space="preserve">Validé par le Groupe Spécialisé le 18/05/2021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Décrire la mise en œuvre.Dans le cas du DTU 31.4, décrire comment franchir les joints de FOB</w:t>
      </w:r>
    </w:p>
    <w:p>
      <w:pPr>
        <w:ind w:left="720" w:right="0"/>
      </w:pPr>
      <w:r>
        <w:rPr>
          <w:rStyle w:val="font_h2"/>
        </w:rPr>
        <w:t xml:space="preserve">6.4. Structure</w:t>
      </w:r>
    </w:p>
    <w:p>
      <w:pPr/>
      <w:r>
        <w:rPr/>
        <w:t xml:space="preserve">Validé par le Groupe Spécialisé le 18/05/2021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Indiquer les déformations admissibles pour le procédé de vêture / vêtage que le concepteur de la structure devra prendre en compte.</w:t>
      </w:r>
    </w:p>
    <w:p>
      <w:pPr/>
      <w:r>
        <w:rPr>
          <w:rStyle w:val="font_h1"/>
        </w:rPr>
        <w:t xml:space="preserve">7. Mise en oeuvre des parements</w:t>
      </w:r>
    </w:p>
    <w:p>
      <w:pPr>
        <w:ind w:left="720" w:right="0"/>
      </w:pPr>
      <w:r>
        <w:rPr>
          <w:rStyle w:val="font_h2"/>
        </w:rPr>
        <w:t xml:space="preserve">7.1. Généralités</w:t>
      </w:r>
    </w:p>
    <w:p>
      <w:pPr/>
      <w:r>
        <w:rPr/>
        <w:t xml:space="preserve">Validé par le Groupe Spécialisé le 18/05/2021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Préciser s'il y a des conditions de stockage particulières. </w:t>
      </w:r>
    </w:p>
    <w:p>
      <w:pPr/>
      <w:r>
        <w:rPr/>
        <w:t xml:space="preserve">Décrire pas à pas la mise en œuvre des parements sur l'ossature.</w:t>
      </w:r>
    </w:p>
    <w:p>
      <w:pPr>
        <w:ind w:left="720" w:right="0"/>
      </w:pPr>
      <w:r>
        <w:rPr>
          <w:rStyle w:val="font_h2"/>
        </w:rPr>
        <w:t xml:space="preserve">7.2. Pose des éléments de veture/vetage</w:t>
      </w:r>
    </w:p>
    <w:p>
      <w:pPr/>
      <w:r>
        <w:rPr/>
        <w:t xml:space="preserve">Validé par le Groupe Spécialisé le 18/05/2021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Indiquer : </w:t>
      </w:r>
    </w:p>
    <w:p>
      <w:pPr>
        <w:pPr/>
        <w:numPr>
          <w:ilvl w:val="0"/>
          <w:numId w:val="14"/>
        </w:numPr>
      </w:pPr>
      <w:r>
        <w:rPr/>
        <w:t xml:space="preserve">la préparation des parements (film à enlever, pré-perçage ...) </w:t>
      </w:r>
    </w:p>
    <w:p>
      <w:pPr>
        <w:pPr/>
        <w:numPr>
          <w:ilvl w:val="0"/>
          <w:numId w:val="14"/>
        </w:numPr>
      </w:pPr>
      <w:r>
        <w:rPr/>
        <w:t xml:space="preserve">l'outillage spécifique à utiliser pour la mise en œuvre des parements </w:t>
      </w:r>
    </w:p>
    <w:p>
      <w:pPr>
        <w:pPr/>
        <w:numPr>
          <w:ilvl w:val="0"/>
          <w:numId w:val="14"/>
        </w:numPr>
      </w:pPr>
      <w:r>
        <w:rPr/>
        <w:t xml:space="preserve">les gardes à respecter en bord de panneau </w:t>
      </w:r>
    </w:p>
    <w:p>
      <w:pPr>
        <w:pPr/>
        <w:numPr>
          <w:ilvl w:val="0"/>
          <w:numId w:val="14"/>
        </w:numPr>
      </w:pPr>
      <w:r>
        <w:rPr/>
        <w:t xml:space="preserve">les joints à respecter entre parements</w:t>
      </w:r>
    </w:p>
    <w:p>
      <w:pPr/>
      <w:r>
        <w:rPr>
          <w:b/>
          <w:bCs/>
        </w:rPr>
        <w:t xml:space="preserve">Justification</w:t>
      </w:r>
    </w:p>
    <w:p>
      <w:pPr/>
      <w:r>
        <w:rPr/>
        <w:t xml:space="preserve">Pour la pose sur hauteur 10m, une expérience reconnue et réussie sera demandée (lettres d'exploitants des bâtiments, des photos voire des autopsies, etc.)</w:t>
      </w:r>
    </w:p>
    <w:p>
      <w:pPr/>
      <w:r>
        <w:rPr>
          <w:b/>
          <w:bCs/>
        </w:rPr>
        <w:t xml:space="preserve">Illustration</w:t>
      </w:r>
    </w:p>
    <w:p>
      <w:pPr/>
      <w:r>
        <w:rPr/>
        <w:t xml:space="preserve">Fournir les figures suivantes :</w:t>
      </w:r>
    </w:p>
    <w:p>
      <w:pPr/>
      <w:r>
        <w:rPr/>
        <w:t xml:space="preserve">Schéma de pose de principe accessoires Joint horizontal (coupe verticale) Joint vertical (coupe horizontale) arrêts hauts départ de façade angles encadrement de baie.Recoupement du pare-pluie tous les 6mFournir les f</w:t>
      </w:r>
    </w:p>
    <w:p>
      <w:pPr/>
      <w:r>
        <w:rPr>
          <w:rStyle w:val="font_h1"/>
        </w:rPr>
        <w:t xml:space="preserve">9. Pose en zones sismiques</w:t>
      </w:r>
    </w:p>
    <w:p>
      <w:pPr>
        <w:ind w:left="720" w:right="0"/>
      </w:pPr>
      <w:r>
        <w:rPr>
          <w:rStyle w:val="font_h2"/>
        </w:rPr>
        <w:t xml:space="preserve">9.1. Domaine d'emploi</w:t>
      </w:r>
    </w:p>
    <w:p>
      <w:pPr/>
      <w:r>
        <w:rPr/>
        <w:t xml:space="preserve">Validé par le Groupe Spécialisé le 18/05/2021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Pour les couples zone de sismicité/catégorie d'importance de bâtiment nécessitant l'apport de justification expérimentale, seule la pose des supports FOB et COB conformes au NF DTU 31.2 peut être validée. </w:t>
      </w:r>
    </w:p>
    <w:p>
      <w:pPr/>
      <w:r>
        <w:pict>
          <v:shape type="#_x0000_t75" style="width:755pt; height:398pt; margin-left:0pt; margin-top:0pt; mso-position-horizontal:left; mso-position-vertical:top; mso-position-horizontal-relative:char;">
            <w10:wrap type="inline"/>
            <v:imagedata r:id="rId7" o:title=""/>
          </v:shape>
        </w:pict>
      </w:r>
    </w:p>
    <w:p>
      <w:pPr/>
      <w:r>
        <w:rPr>
          <w:b/>
          <w:bCs/>
        </w:rPr>
        <w:t xml:space="preserve">Justification</w:t>
      </w:r>
    </w:p>
    <w:p>
      <w:pPr/>
      <w:r>
        <w:rPr/>
        <w:t xml:space="preserve">Essais selon Cahier 3725 + étude de justification des sollicitations dans les tirefonds.</w:t>
      </w:r>
    </w:p>
    <w:p>
      <w:pPr>
        <w:ind w:left="720" w:right="0"/>
      </w:pPr>
      <w:r>
        <w:rPr>
          <w:rStyle w:val="font_h2"/>
        </w:rPr>
        <w:t xml:space="preserve">9.2. Fixation sur support</w:t>
      </w:r>
    </w:p>
    <w:p>
      <w:pPr/>
      <w:r>
        <w:rPr/>
        <w:t xml:space="preserve">Validé par le Groupe Spécialisé le 18/05/2021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Indiquer les types de de tirefonds utilisés.</w:t>
      </w:r>
    </w:p>
    <w:p>
      <w:pPr/>
      <w:r>
        <w:rPr>
          <w:b/>
          <w:bCs/>
        </w:rPr>
        <w:t xml:space="preserve">Justification</w:t>
      </w:r>
    </w:p>
    <w:p>
      <w:pPr/>
      <w:r>
        <w:rPr/>
        <w:t xml:space="preserve">Fournir les calculs de sollicitations des chevilles de fixation ou des tirefonds suivant le Cahier du CSTB 3725. </w:t>
      </w:r>
    </w:p>
    <w:p>
      <w:pPr/>
      <w:r>
        <w:rPr/>
        <w:t xml:space="preserve">Fournir une référence de fixation satisfaisant à ces sollicitations.</w:t>
      </w:r>
    </w:p>
    <w:p>
      <w:pPr>
        <w:ind w:left="720" w:right="0"/>
      </w:pPr>
      <w:r>
        <w:rPr>
          <w:rStyle w:val="font_h2"/>
        </w:rPr>
        <w:t xml:space="preserve">9.3. Points singuliers</w:t>
      </w:r>
    </w:p>
    <w:p>
      <w:pPr/>
      <w:r>
        <w:rPr/>
        <w:t xml:space="preserve">Validé par le Groupe Spécialisé le 18/05/2021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Décrire les points singuliers.</w:t>
      </w:r>
    </w:p>
    <w:p>
      <w:pPr/>
      <w:r>
        <w:rPr>
          <w:b/>
          <w:bCs/>
        </w:rPr>
        <w:t xml:space="preserve">Illustration</w:t>
      </w:r>
    </w:p>
    <w:p>
      <w:pPr/>
      <w:r>
        <w:rPr/>
        <w:t xml:space="preserve">Fournir les figures suivantes : </w:t>
      </w:r>
    </w:p>
    <w:p>
      <w:pPr>
        <w:pPr/>
        <w:numPr>
          <w:ilvl w:val="0"/>
          <w:numId w:val="15"/>
        </w:numPr>
      </w:pPr>
      <w:r>
        <w:rPr/>
        <w:t xml:space="preserve">Traitement du joint de dilatation du gros œuvre de 12 à 15 cm </w:t>
      </w:r>
    </w:p>
    <w:p>
      <w:pPr>
        <w:pPr/>
        <w:numPr>
          <w:ilvl w:val="0"/>
          <w:numId w:val="15"/>
        </w:numPr>
      </w:pPr>
      <w:r>
        <w:rPr/>
        <w:t xml:space="preserve">Fractionnement de l'ossature à chaque plancher</w:t>
      </w:r>
    </w:p>
    <w:p>
      <w:pPr/>
      <w:r>
        <w:rPr>
          <w:rStyle w:val="font_h1"/>
        </w:rPr>
        <w:t xml:space="preserve">10. Entretien et réparation</w:t>
      </w:r>
    </w:p>
    <w:p>
      <w:pPr>
        <w:ind w:left="720" w:right="0"/>
      </w:pPr>
      <w:r>
        <w:rPr>
          <w:rStyle w:val="font_h2"/>
        </w:rPr>
        <w:t xml:space="preserve">10.1. Entretien et nettoyage</w:t>
      </w:r>
    </w:p>
    <w:p>
      <w:pPr/>
      <w:r>
        <w:rPr/>
        <w:t xml:space="preserve">Validé par le Groupe Spécialisé le 18/05/2021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Indiquer les produits spécifiques à utiliser pour l'entretien et le nettoyage.Si besoin, indiquer les produits proscrits.</w:t>
      </w:r>
    </w:p>
    <w:p>
      <w:pPr>
        <w:ind w:left="720" w:right="0"/>
      </w:pPr>
      <w:r>
        <w:rPr>
          <w:rStyle w:val="font_h2"/>
        </w:rPr>
        <w:t xml:space="preserve">10.2. Remplacement d'un parement</w:t>
      </w:r>
    </w:p>
    <w:p>
      <w:pPr/>
      <w:r>
        <w:rPr/>
        <w:t xml:space="preserve">Validé par le Groupe Spécialisé le 18/05/2021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Décrire la procédure de remplacement pas à pas d'un parement.</w:t>
      </w:r>
    </w:p>
    <w:p>
      <w:pPr/>
      <w:r>
        <w:rPr>
          <w:b/>
          <w:bCs/>
        </w:rPr>
        <w:t xml:space="preserve">Critères d'évaluation</w:t>
      </w:r>
    </w:p>
    <w:p>
      <w:pPr/>
      <w:r>
        <w:rPr/>
        <w:t xml:space="preserve">Apporter la preuve par essai que le nouveau système fixation/parement présente des performances supérieures ou égales à l'élément remplacé.</w: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_footer"/>
    </w:pPr>
    <w:r>
      <w:rPr>
        <w:rStyle w:val="font_footer"/>
      </w:rPr>
      <w:t xml:space="preserve">Secrétariat : 84 avenue Jean-Jaurès – Champs-sur-Marne – F-77447 Marne-la-Vallée Cedex 2</w:t>
    </w:r>
    <w:br/>
    <w:r>
      <w:rPr>
        <w:rStyle w:val="font_footer"/>
      </w:rPr>
      <w:t xml:space="preserve">Tel : (33)01.64.68.85.60 - Fax : (33)01.64.68.85.65</w:t>
    </w:r>
    <w:br/>
    <w:r>
      <w:rPr>
        <w:rStyle w:val="font_footer"/>
      </w:rPr>
      <w:t xml:space="preserve">Serveur Internet : http://www.cstb.fr - E-mail : secretariat.at@cstb.fr</w:t>
    </w:r>
    <w:br/>
  </w:p>
  <w:p>
    <w:pPr>
      <w:pStyle w:val="paragraph_footer"/>
    </w:pPr>
    <w:r>
      <w:rPr>
        <w:rStyle w:val="font_footer"/>
      </w:rPr>
      <w:t xml:space="preserve">Page </w:t>
    </w:r>
    <w:r>
      <w:fldChar w:fldCharType="begin"/>
    </w:r>
    <w:r>
      <w:rPr>
        <w:rStyle w:val="font_footer"/>
      </w:rPr>
      <w:instrText xml:space="preserve">PAGE</w:instrText>
    </w:r>
    <w:r>
      <w:fldChar w:fldCharType="separate"/>
    </w:r>
    <w:r>
      <w:fldChar w:fldCharType="end"/>
    </w:r>
    <w:r>
      <w:rPr>
        <w:rStyle w:val="font_footer"/>
      </w:rPr>
      <w:t xml:space="preserve"> sur </w:t>
    </w:r>
    <w:r>
      <w:fldChar w:fldCharType="begin"/>
    </w:r>
    <w:r>
      <w:rPr>
        <w:rStyle w:val="font_footer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</w:p>
  <w:p>
    <w:pPr/>
    <w:r>
      <w:pict>
        <v:shape type="#_x0000_t75" style="width:170pt; height:60pt; margin-left:0pt; margin-top:0pt; mso-position-horizontal:left; mso-position-vertical:top; mso-position-horizontal-relative:char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">
    <w:nsid w:val="FBCAC77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92373C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6C0396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393B22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5FA543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6B246A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2EE5A4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font_default">
    <w:name w:val="font_default"/>
    <w:basedOn w:val="Normal"/>
    <w:pPr>
      <w:spacing w:line="240" w:lineRule="auto"/>
    </w:pPr>
    <w:rPr>
      <w:rFonts w:ascii="Calibri" w:hAnsi="Calibri" w:eastAsia="Calibri" w:cs="Calibri"/>
      <w:color w:val="000000"/>
      <w:sz w:val="22"/>
      <w:szCs w:val="22"/>
    </w:rPr>
  </w:style>
  <w:style w:type="character">
    <w:name w:val="font_h1"/>
    <w:rPr>
      <w:rFonts w:ascii="Calibri" w:hAnsi="Calibri" w:eastAsia="Calibri" w:cs="Calibri"/>
      <w:color w:val="000000"/>
      <w:sz w:val="28"/>
      <w:szCs w:val="28"/>
      <w:b/>
      <w:bCs/>
    </w:rPr>
  </w:style>
  <w:style w:type="character">
    <w:name w:val="font_h2"/>
    <w:rPr>
      <w:rFonts w:ascii="Calibri" w:hAnsi="Calibri" w:eastAsia="Calibri" w:cs="Calibri"/>
      <w:color w:val="000000"/>
      <w:sz w:val="24"/>
      <w:szCs w:val="24"/>
      <w:b/>
      <w:bCs/>
    </w:rPr>
  </w:style>
  <w:style w:type="character">
    <w:name w:val="font_h3"/>
    <w:rPr>
      <w:rFonts w:ascii="Calibri" w:hAnsi="Calibri" w:eastAsia="Calibri" w:cs="Calibri"/>
      <w:color w:val="000000"/>
      <w:sz w:val="22"/>
      <w:szCs w:val="22"/>
      <w:b/>
      <w:bCs/>
    </w:rPr>
  </w:style>
  <w:style w:type="character">
    <w:name w:val="font_footer"/>
    <w:rPr>
      <w:rFonts w:ascii="Calibri" w:hAnsi="Calibri" w:eastAsia="Calibri" w:cs="Calibri"/>
      <w:color w:val="000000"/>
      <w:sz w:val="20"/>
      <w:szCs w:val="20"/>
    </w:rPr>
  </w:style>
  <w:style w:type="paragraph" w:customStyle="1" w:styleId="paragraph_centered">
    <w:name w:val="paragraph_centered"/>
    <w:basedOn w:val="Normal"/>
    <w:pPr>
      <w:jc w:val="center"/>
    </w:pPr>
  </w:style>
  <w:style w:type="paragraph" w:customStyle="1" w:styleId="paragraph_footer">
    <w:name w:val="paragraph_footer"/>
    <w:basedOn w:val="Normal"/>
    <w:pPr>
      <w:jc w:val="center"/>
      <w:spacing w:after="0" w:line="240" w:lineRule="auto"/>
    </w:pPr>
  </w:style>
  <w:style w:type="table" w:customStyle="1" w:styleId="table">
    <w:name w:val="table"/>
    <w:uiPriority w:val="99"/>
    <w:tblPr>
      <w:tblW w:w="0" w:type="auto"/>
      <w:tblLayout w:type="autofit"/>
      <w:tblCellMar>
        <w:top w:w="50" w:type="dxa"/>
        <w:left w:w="50" w:type="dxa"/>
        <w:right w:w="50" w:type="dxa"/>
        <w:bottom w:w="50" w:type="dxa"/>
      </w:tblCellMar>
      <w:tblBorders>
        <w:top w:val="single" w:sz="6" w:color="444444"/>
        <w:left w:val="single" w:sz="6" w:color="444444"/>
        <w:right w:val="single" w:sz="6" w:color="444444"/>
        <w:bottom w:val="single" w:sz="6" w:color="444444"/>
        <w:insideH w:val="single" w:sz="6" w:color="444444"/>
        <w:insideV w:val="single" w:sz="6" w:color="444444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2026-05-24T18:26:29+02:00</dcterms:created>
  <dcterms:modified xsi:type="dcterms:W3CDTF">2026-05-24T18:26:29+02:00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