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2.2 - Édité le 30/04/2026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2.2 « Produits et procédés de bardage rapporté, vêtage et vêture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Bardage rapporté en béton fibré sur support bois</w:t>
      </w:r>
    </w:p>
    <w:p>
      <w:pPr/>
      <w:r>
        <w:rPr>
          <w:rStyle w:val="font_h1"/>
        </w:rPr>
        <w:t xml:space="preserve">1. Domaine d'emploi</w:t>
      </w:r>
    </w:p>
    <w:p>
      <w:pPr/>
      <w:r>
        <w:rPr/>
        <w:t xml:space="preserve">Validé par le Groupe Spécialisé le 21/09/2021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Préciser pour le procédé objet de la demande : </w:t>
      </w:r>
    </w:p>
    <w:p>
      <w:pPr>
        <w:pPr/>
        <w:numPr>
          <w:ilvl w:val="0"/>
          <w:numId w:val="9"/>
        </w:numPr>
      </w:pPr>
      <w:r>
        <w:rPr/>
        <w:t xml:space="preserve">Nature des travaux : neuf, rénovation  </w:t>
      </w:r>
    </w:p>
    <w:p>
      <w:pPr>
        <w:pPr/>
        <w:numPr>
          <w:ilvl w:val="0"/>
          <w:numId w:val="9"/>
        </w:numPr>
      </w:pPr>
      <w:r>
        <w:rPr/>
        <w:t xml:space="preserve">Type de bâtiments visés : ERP, habitation, Code du Travail</w:t>
      </w:r>
    </w:p>
    <w:p>
      <w:pPr>
        <w:pPr/>
        <w:numPr>
          <w:ilvl w:val="0"/>
          <w:numId w:val="9"/>
        </w:numPr>
      </w:pPr>
      <w:r>
        <w:rPr/>
        <w:t xml:space="preserve">Type de supports visés : béton, maçonnerie, Constructions à Ossature Bois conformes au NF DTU 31.2 et NF DTU 31.4, paroi de CLT sous Avis Technique. </w:t>
      </w:r>
    </w:p>
    <w:p>
      <w:pPr>
        <w:pPr/>
        <w:numPr>
          <w:ilvl w:val="0"/>
          <w:numId w:val="9"/>
        </w:numPr>
      </w:pPr>
      <w:r>
        <w:rPr/>
        <w:t xml:space="preserve">Type d'ossatures visées : bois, acier, aluminium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rapports d'essais (essais réalisés par tierce partie) concernant :</w:t>
      </w:r>
    </w:p>
    <w:p>
      <w:pPr>
        <w:pPr/>
        <w:numPr>
          <w:ilvl w:val="0"/>
          <w:numId w:val="10"/>
        </w:numPr>
      </w:pPr>
      <w:r>
        <w:rPr/>
        <w:t xml:space="preserve">les chocs de conservation de performances selon la P08-302 et le Cahier du CSTB 3534</w:t>
      </w:r>
    </w:p>
    <w:p>
      <w:pPr>
        <w:pPr/>
        <w:numPr>
          <w:ilvl w:val="0"/>
          <w:numId w:val="10"/>
        </w:numPr>
      </w:pPr>
      <w:r>
        <w:rPr/>
        <w:t xml:space="preserve">les performances vis-à-vis des charges de vent en dépression selon le Cahier du CSTB 3517</w:t>
      </w:r>
    </w:p>
    <w:p>
      <w:pPr>
        <w:pPr/>
        <w:numPr>
          <w:ilvl w:val="0"/>
          <w:numId w:val="10"/>
        </w:numPr>
      </w:pPr>
      <w:r>
        <w:rPr/>
        <w:t xml:space="preserve">la réaction au feu et PCS</w:t>
      </w:r>
    </w:p>
    <w:p>
      <w:pPr/>
      <w:r>
        <w:rPr>
          <w:rStyle w:val="font_h1"/>
        </w:rPr>
        <w:t xml:space="preserve">2. Eléments</w:t>
      </w:r>
    </w:p>
    <w:p>
      <w:pPr>
        <w:ind w:left="720" w:right="0"/>
      </w:pPr>
      <w:r>
        <w:rPr>
          <w:rStyle w:val="font_h2"/>
        </w:rPr>
        <w:t xml:space="preserve">2.1. Parements de bardage</w:t>
      </w:r>
    </w:p>
    <w:p>
      <w:pPr>
        <w:ind w:left="720" w:right="0"/>
      </w:pPr>
      <w:r>
        <w:rPr>
          <w:rStyle w:val="font_h2"/>
        </w:rPr>
        <w:t xml:space="preserve">2.2. Fixations</w:t>
      </w:r>
    </w:p>
    <w:p>
      <w:pPr>
        <w:ind w:left="720" w:right="0"/>
      </w:pPr>
      <w:r>
        <w:rPr>
          <w:rStyle w:val="font_h2"/>
        </w:rPr>
        <w:t xml:space="preserve">2.3. Ossature</w:t>
      </w:r>
    </w:p>
    <w:p>
      <w:pPr>
        <w:ind w:left="1440" w:right="0"/>
      </w:pPr>
      <w:r>
        <w:rPr>
          <w:rStyle w:val="font_h3"/>
        </w:rPr>
        <w:t xml:space="preserve">2.3.1. Ossature bois</w:t>
      </w:r>
    </w:p>
    <w:p>
      <w:pPr>
        <w:ind w:left="1440" w:right="0"/>
      </w:pPr>
      <w:r>
        <w:rPr>
          <w:rStyle w:val="font_h3"/>
        </w:rPr>
        <w:t xml:space="preserve">2.3.2. Ossature métallique</w:t>
      </w:r>
    </w:p>
    <w:p>
      <w:pPr>
        <w:ind w:left="720" w:right="0"/>
      </w:pPr>
      <w:r>
        <w:rPr>
          <w:rStyle w:val="font_h2"/>
        </w:rPr>
        <w:t xml:space="preserve">2.4. Isolant</w:t>
      </w:r>
    </w:p>
    <w:p>
      <w:pPr>
        <w:ind w:left="720" w:right="0"/>
      </w:pPr>
      <w:r>
        <w:rPr>
          <w:rStyle w:val="font_h2"/>
        </w:rPr>
        <w:t xml:space="preserve">2.5. Accessoires</w:t>
      </w:r>
    </w:p>
    <w:p>
      <w:pPr/>
      <w:r>
        <w:rPr>
          <w:rStyle w:val="font_h1"/>
        </w:rPr>
        <w:t xml:space="preserve">3. Fabrication</w:t>
      </w:r>
    </w:p>
    <w:p>
      <w:pPr/>
      <w:r>
        <w:rPr>
          <w:rStyle w:val="font_h1"/>
        </w:rPr>
        <w:t xml:space="preserve">4. Contrôles de fabrication</w:t>
      </w:r>
    </w:p>
    <w:p>
      <w:pPr/>
      <w:r>
        <w:rPr>
          <w:rStyle w:val="font_h1"/>
        </w:rPr>
        <w:t xml:space="preserve">5. Fourniture et assistance technique</w:t>
      </w:r>
    </w:p>
    <w:p>
      <w:pPr/>
      <w:r>
        <w:rPr>
          <w:rStyle w:val="font_h1"/>
        </w:rPr>
        <w:t xml:space="preserve">6. Mise en oeuvre de l'isolation thermique et de l'ossature</w:t>
      </w:r>
    </w:p>
    <w:p>
      <w:pPr>
        <w:ind w:left="720" w:right="0"/>
      </w:pPr>
      <w:r>
        <w:rPr>
          <w:rStyle w:val="font_h2"/>
        </w:rPr>
        <w:t xml:space="preserve">6.1. Isolation thermique</w:t>
      </w:r>
    </w:p>
    <w:p>
      <w:pPr>
        <w:ind w:left="720" w:right="0"/>
      </w:pPr>
      <w:r>
        <w:rPr>
          <w:rStyle w:val="font_h2"/>
        </w:rPr>
        <w:t xml:space="preserve">6.2. Ossature bois</w:t>
      </w:r>
    </w:p>
    <w:p>
      <w:pPr>
        <w:ind w:left="720" w:right="0"/>
      </w:pPr>
      <w:r>
        <w:rPr>
          <w:rStyle w:val="font_h2"/>
        </w:rPr>
        <w:t xml:space="preserve">6.3. Ossature métallique</w:t>
      </w:r>
    </w:p>
    <w:p>
      <w:pPr/>
      <w:r>
        <w:rPr>
          <w:rStyle w:val="font_h1"/>
        </w:rPr>
        <w:t xml:space="preserve">7. Mise en oeuvre des parements</w:t>
      </w:r>
    </w:p>
    <w:p>
      <w:pPr>
        <w:ind w:left="720" w:right="0"/>
      </w:pPr>
      <w:r>
        <w:rPr>
          <w:rStyle w:val="font_h2"/>
        </w:rPr>
        <w:t xml:space="preserve">7.1. Généralités</w:t>
      </w:r>
    </w:p>
    <w:p>
      <w:pPr>
        <w:ind w:left="720" w:right="0"/>
      </w:pPr>
      <w:r>
        <w:rPr>
          <w:rStyle w:val="font_h2"/>
        </w:rPr>
        <w:t xml:space="preserve">7.2. Pose des éléments de bardage</w:t>
      </w:r>
    </w:p>
    <w:p>
      <w:pPr/>
      <w:r>
        <w:rPr>
          <w:rStyle w:val="font_h1"/>
        </w:rPr>
        <w:t xml:space="preserve">8. Pose sur Constructions Ossature Bois (COB)</w:t>
      </w:r>
    </w:p>
    <w:p>
      <w:pPr>
        <w:ind w:left="720" w:right="0"/>
      </w:pPr>
      <w:r>
        <w:rPr>
          <w:rStyle w:val="font_h2"/>
        </w:rPr>
        <w:t xml:space="preserve">8.1. Principes généraux de mise en oeuvre</w:t>
      </w:r>
    </w:p>
    <w:p>
      <w:pPr>
        <w:ind w:left="720" w:right="0"/>
      </w:pPr>
      <w:r>
        <w:rPr>
          <w:rStyle w:val="font_h2"/>
        </w:rPr>
        <w:t xml:space="preserve">8.2. Dispositions particulières</w:t>
      </w:r>
    </w:p>
    <w:p>
      <w:pPr/>
      <w:r>
        <w:rPr>
          <w:rStyle w:val="font_h1"/>
        </w:rPr>
        <w:t xml:space="preserve">9. Pose en zones sismiques</w:t>
      </w:r>
    </w:p>
    <w:p>
      <w:pPr>
        <w:ind w:left="720" w:right="0"/>
      </w:pPr>
      <w:r>
        <w:rPr>
          <w:rStyle w:val="font_h2"/>
        </w:rPr>
        <w:t xml:space="preserve">9.1. Domaine d'emploi</w:t>
      </w:r>
    </w:p>
    <w:p>
      <w:pPr>
        <w:ind w:left="720" w:right="0"/>
      </w:pPr>
      <w:r>
        <w:rPr>
          <w:rStyle w:val="font_h2"/>
        </w:rPr>
        <w:t xml:space="preserve">9.2. Chevilles de fixation ou tirefonds</w:t>
      </w:r>
    </w:p>
    <w:p>
      <w:pPr>
        <w:ind w:left="720" w:right="0"/>
      </w:pPr>
      <w:r>
        <w:rPr>
          <w:rStyle w:val="font_h2"/>
        </w:rPr>
        <w:t xml:space="preserve">9.3. Points singuliers</w:t>
      </w:r>
    </w:p>
    <w:p>
      <w:pPr/>
      <w:r>
        <w:rPr>
          <w:rStyle w:val="font_h1"/>
        </w:rPr>
        <w:t xml:space="preserve">10. Entretien et réparation</w:t>
      </w:r>
    </w:p>
    <w:p>
      <w:pPr>
        <w:ind w:left="720" w:right="0"/>
      </w:pPr>
      <w:r>
        <w:rPr>
          <w:rStyle w:val="font_h2"/>
        </w:rPr>
        <w:t xml:space="preserve">10.1. Entretien et nettoyage</w:t>
      </w:r>
    </w:p>
    <w:p>
      <w:pPr>
        <w:ind w:left="720" w:right="0"/>
      </w:pPr>
      <w:r>
        <w:rPr>
          <w:rStyle w:val="font_h2"/>
        </w:rPr>
        <w:t xml:space="preserve">10.2. Remplacement d'un parement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BDF32C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AC7F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2026-04-30T16:34:03+02:00</dcterms:created>
  <dcterms:modified xsi:type="dcterms:W3CDTF">2026-04-30T16:34:03+02:00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