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30/06/2026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de fumée flexible isolé</w:t>
      </w:r>
    </w:p>
    <w:p>
      <w:pPr/>
      <w:r>
        <w:rPr>
          <w:rStyle w:val="font_h1"/>
        </w:rPr>
        <w:t xml:space="preserve">1. Principe</w:t>
      </w:r>
    </w:p>
    <w:p>
      <w:pPr/>
      <w:r>
        <w:rPr>
          <w:rStyle w:val="font_h1"/>
        </w:rPr>
        <w:t xml:space="preserve">2. Domaine d'emploi</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ouvrages</w:t>
      </w:r>
    </w:p>
    <w:p>
      <w:pPr>
        <w:ind w:left="720" w:right="0"/>
      </w:pPr>
      <w:r>
        <w:rPr>
          <w:rStyle w:val="font_h2"/>
        </w:rPr>
        <w:t xml:space="preserve">4.3. Identification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11/06/2025</w:t>
      </w:r>
    </w:p>
    <w:p>
      <w:pPr/>
      <w:r>
        <w:rPr>
          <w:b/>
          <w:bCs/>
        </w:rPr>
        <w:t xml:space="preserve">Description</w:t>
      </w:r>
    </w:p>
    <w:p>
      <w:pPr/>
      <w:r>
        <w:rPr/>
        <w:t xml:space="preserve">Dans le cas des conduits flexibles isolés, préciser les conditions d'installation :</w:t>
      </w:r>
    </w:p>
    <w:p>
      <w:pPr>
        <w:pPr/>
        <w:numPr>
          <w:ilvl w:val="0"/>
          <w:numId w:val="9"/>
        </w:numPr>
      </w:pPr>
      <w:r>
        <w:rPr/>
        <w:t xml:space="preserve">en conduit neuf</w:t>
      </w:r>
    </w:p>
    <w:p>
      <w:pPr>
        <w:pPr/>
        <w:numPr>
          <w:ilvl w:val="0"/>
          <w:numId w:val="9"/>
        </w:numPr>
      </w:pPr>
      <w:r>
        <w:rPr/>
        <w:t xml:space="preserve">en réutilisation de conduit existant</w:t>
      </w:r>
    </w:p>
    <w:p>
      <w:pPr/>
      <w:r>
        <w:rPr>
          <w:b/>
          <w:bCs/>
        </w:rPr>
        <w:t xml:space="preserve">Critères d'évaluation</w:t>
      </w:r>
    </w:p>
    <w:p>
      <w:pPr/>
      <w:r>
        <w:rPr/>
        <w:t xml:space="preserve">Dans le cas des conduits flexibles isolés installés dans un conduit existant ne respectant pas les distances de sécurité du NF DTU 24.1 :</w:t>
      </w:r>
    </w:p>
    <w:p>
      <w:pPr>
        <w:pPr/>
        <w:numPr>
          <w:ilvl w:val="0"/>
          <w:numId w:val="10"/>
        </w:numPr>
      </w:pPr>
      <w:r>
        <w:rPr/>
        <w:t xml:space="preserve">Soit le dossier prévoit que le conduit existant comporte une distance de sécurité supérieure à 40 mm, mesurée depuis la face extérieure du conduit existant, par référence aux dispositions prévues dans l’EN 15287-1</w:t>
      </w:r>
    </w:p>
    <w:p>
      <w:pPr>
        <w:pPr/>
        <w:numPr>
          <w:ilvl w:val="0"/>
          <w:numId w:val="10"/>
        </w:numPr>
      </w:pPr>
      <w:r>
        <w:rPr/>
        <w:t xml:space="preserve">Soit le dossier prévoit que le conduit existant peutcomporter une distance de sécurité inférieure à 40 mm. Dans ce cas, l’installation du conduit flexible isolée doit permettre de respecter la distance de sécurité nécessaire (maximum de la valeur prévue par le NF DTU 24.1 pour les conduits composites rigides et de la valeur déclarée dans la désignation du conduit flexible isolé).La distance de sécurité aux matériaux combustibles est mesurée depuis la face intérieure du conduit existant. Si le conduit existant a une épaisseur supérieure à la distance nécessaire, aucune distance de sécurité n'est requise (il n'est pas exigée une absence de contact aux matériaux combustibles pour le conduit existant).</w:t>
      </w:r>
    </w:p>
    <w:p>
      <w:pPr/>
      <w:r>
        <w:rPr/>
        <w:t xml:space="preserve">Le diagnostic du conduit existant doit intégrer la vérification de la distance de sécurité et dans le cas où la distance de sécurité ne peut pas être vérifiée (notamment dans le cas d’un conduit mandriné), l’installation ne doit pas être réalisée. »</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F51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D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2026-06-30T05:01:15+02:00</dcterms:created>
  <dcterms:modified xsi:type="dcterms:W3CDTF">2026-06-30T05:01:15+02:00</dcterms:modified>
</cp:coreProperties>
</file>

<file path=docProps/custom.xml><?xml version="1.0" encoding="utf-8"?>
<Properties xmlns="http://schemas.openxmlformats.org/officeDocument/2006/custom-properties" xmlns:vt="http://schemas.openxmlformats.org/officeDocument/2006/docPropsVTypes"/>
</file>