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07/12/2025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d’amenée d’air comburant et d’évacuation des produits de combustion pour appareils à bois étanches</w:t>
      </w:r>
    </w:p>
    <w:p>
      <w:pPr/>
      <w:r>
        <w:rPr>
          <w:rStyle w:val="font_h1"/>
        </w:rPr>
        <w:t xml:space="preserve">1. Principe</w:t>
      </w:r>
    </w:p>
    <w:p>
      <w:pPr/>
      <w:r>
        <w:rPr>
          <w:rStyle w:val="font_h1"/>
        </w:rPr>
        <w:t xml:space="preserve">2. Domaine d'emploi</w:t>
      </w:r>
    </w:p>
    <w:p>
      <w:pPr/>
      <w:r>
        <w:rPr/>
        <w:t xml:space="preserve">Validé par le Groupe Spécialisé le 30/03/2023</w:t>
      </w:r>
    </w:p>
    <w:p>
      <w:pPr/>
      <w:r>
        <w:rPr>
          <w:b/>
          <w:bCs/>
        </w:rPr>
        <w:t xml:space="preserve">Description</w:t>
      </w:r>
    </w:p>
    <w:p>
      <w:pPr/>
      <w:r>
        <w:rPr/>
        <w:t xml:space="preserve">Décrire les caractéristiques des appareils à buches compatibles avec le système : </w:t>
      </w:r>
    </w:p>
    <w:p>
      <w:pPr>
        <w:pPr/>
        <w:numPr>
          <w:ilvl w:val="0"/>
          <w:numId w:val="9"/>
        </w:numPr>
      </w:pPr>
      <w:r>
        <w:rPr/>
        <w:t xml:space="preserve">soit les poêles, inserts et cuisinières à buches, à circuit de combustion étanche :</w:t>
      </w:r>
    </w:p>
    <w:p>
      <w:pPr>
        <w:pPr/>
        <w:numPr>
          <w:ilvl w:val="1"/>
          <w:numId w:val="9"/>
        </w:numPr>
      </w:pPr>
      <w:r>
        <w:rPr/>
        <w:t xml:space="preserve">marqués CE selon les normes EN 12815, EN 15250, EN 13229 ou EN 13240</w:t>
      </w:r>
    </w:p>
    <w:p>
      <w:pPr>
        <w:pPr/>
        <w:numPr>
          <w:ilvl w:val="1"/>
          <w:numId w:val="9"/>
        </w:numPr>
      </w:pPr>
      <w:r>
        <w:rPr/>
        <w:t xml:space="preserve">respectant le critère d’étanchéité de 3 m3/h sous 10 Pa (selon la norme européenne EN 16510-1)</w:t>
      </w:r>
    </w:p>
    <w:p>
      <w:pPr>
        <w:pPr/>
        <w:numPr>
          <w:ilvl w:val="1"/>
          <w:numId w:val="9"/>
        </w:numPr>
      </w:pPr>
      <w:r>
        <w:rPr/>
        <w:t xml:space="preserve">dont la notice donne les dispositions pour assurer la compatibilité avec le système d’amenée d’air et d’évacuation des produits de combustion compte tenu des résultats des essais de couplage et d’étanchéité à l’air de l’appareil réalisés.</w:t>
      </w:r>
    </w:p>
    <w:p>
      <w:pPr/>
      <w:r>
        <w:rPr/>
        <w:t xml:space="preserve">Dans ce cas, le titulaire du DTA tient à disposition la liste des appareils compatibles avec le système.</w:t>
      </w:r>
    </w:p>
    <w:p>
      <w:pPr>
        <w:pPr/>
        <w:numPr>
          <w:ilvl w:val="0"/>
          <w:numId w:val="10"/>
        </w:numPr>
      </w:pPr>
      <w:r>
        <w:rPr/>
        <w:t xml:space="preserve">soit les poêles, inserts et cuisinières à buches, à circuit de combustion étanche, s’ils respectent l’ensemble des dispositions suivantes :</w:t>
      </w:r>
    </w:p>
    <w:p>
      <w:pPr/>
      <w:r>
        <w:rPr/>
        <w:t xml:space="preserve">1 / Ils doivent être marqués CE selon la norme EN 16510-2-1, EN 16510-2-2, EN 16510-2-3 ou EN 16510-2-5.</w:t>
      </w:r>
    </w:p>
    <w:p>
      <w:pPr/>
      <w:r>
        <w:rPr/>
        <w:t xml:space="preserve">2 / Ils doivent respecter la classe d’étanchéité CA10, CM10 ou CC10.La classe d’étanchéité doit être déclarée par le fabricant sur la base d’un rapport d’essai établi par un laboratoire accrédité pour ces essais selon la norme EN ISO 17025.</w:t>
      </w:r>
    </w:p>
    <w:p>
      <w:pPr/>
      <w:r>
        <w:rPr/>
        <w:t xml:space="preserve">3 / La notice et la plaque signalétique doivent mentionner les éléments suivants :</w:t>
      </w:r>
    </w:p>
    <w:p>
      <w:pPr>
        <w:pPr/>
        <w:numPr>
          <w:ilvl w:val="0"/>
          <w:numId w:val="11"/>
        </w:numPr>
      </w:pPr>
      <w:r>
        <w:rPr/>
        <w:t xml:space="preserve">La notice de l’appareil doit préciser la possibilité de raccordement à un conduit concentrique.La notice de l’appareil doit indiquer les dispositions pour assurer la compatibilité avec le système d’amenée d’air comburant et d’évacuation des produits de combustion et fournir toutes les données permettant le dimensionnement de l'installation.</w:t>
      </w:r>
    </w:p>
    <w:p>
      <w:pPr/>
      <w:r>
        <w:rPr/>
        <w:t xml:space="preserve">Note : un essai de fonctionnement permet de valider cette compatibilité.</w:t>
      </w:r>
    </w:p>
    <w:p>
      <w:pPr>
        <w:pPr/>
        <w:numPr>
          <w:ilvl w:val="0"/>
          <w:numId w:val="12"/>
        </w:numPr>
      </w:pPr>
      <w:r>
        <w:rPr/>
        <w:t xml:space="preserve">La plaque signalétique et la notice de l’appareil doivent indiquer la classe d’étanchéité de l’appareil (CA10, CM10 ou CC10).</w:t>
      </w:r>
    </w:p>
    <w:p>
      <w:pPr/>
      <w:r>
        <w:rPr>
          <w:rStyle w:val="font_h1"/>
        </w:rPr>
        <w:t xml:space="preserve">3. Eléments constitutifs</w:t>
      </w:r>
    </w:p>
    <w:p>
      <w:pPr/>
      <w:r>
        <w:rPr>
          <w:rStyle w:val="font_h1"/>
        </w:rPr>
        <w:t xml:space="preserve">4. Description des éléments</w:t>
      </w:r>
    </w:p>
    <w:p>
      <w:pPr/>
      <w:r>
        <w:rPr>
          <w:rStyle w:val="font_h1"/>
        </w:rPr>
        <w:t xml:space="preserve">5. Fabrication et contrôles</w:t>
      </w:r>
    </w:p>
    <w:p>
      <w:pPr/>
      <w:r>
        <w:rPr>
          <w:rStyle w:val="font_h1"/>
        </w:rPr>
        <w:t xml:space="preserve">6. Dimensionnement et conception</w:t>
      </w:r>
    </w:p>
    <w:p>
      <w:pPr/>
      <w:r>
        <w:rPr/>
        <w:t xml:space="preserve">Validé par le Groupe Spécialisé le 24/05/2019</w:t>
      </w:r>
    </w:p>
    <w:p>
      <w:pPr/>
      <w:r>
        <w:rPr>
          <w:b/>
          <w:bCs/>
        </w:rPr>
        <w:t xml:space="preserve">Description</w:t>
      </w:r>
    </w:p>
    <w:p>
      <w:pPr/>
      <w:r>
        <w:rPr/>
        <w:t xml:space="preserve">Dans le cas des systèmes d’amenée d’air comburant et d’évacuation des produits de combustion desservant des appareils étanches à bûches, indiquer que :</w:t>
      </w:r>
    </w:p>
    <w:p>
      <w:pPr>
        <w:pPr/>
        <w:numPr>
          <w:ilvl w:val="0"/>
          <w:numId w:val="13"/>
        </w:numPr>
      </w:pPr>
      <w:r>
        <w:rPr/>
        <w:t xml:space="preserve">le dimensionnement du système d'amenée d'air comburant et d’évacuation des produits de combustion doit être réalisé selon la norme NF EN 13384-1 avec un fonctionnement sans condensation.</w:t>
      </w:r>
    </w:p>
    <w:p>
      <w:pPr>
        <w:pPr/>
        <w:numPr>
          <w:ilvl w:val="0"/>
          <w:numId w:val="13"/>
        </w:numPr>
      </w:pPr>
      <w:r>
        <w:rPr/>
        <w:t xml:space="preserve">dans le cas d’un système permettant la réutilisation d’un conduit existant avec introduction d’un tube flexible simple paroi pour desservir des appareils à bûches, préciser en note que le flexible n’étant pas isolé, le dimensionnement doit garantir un fonctionnement sec à puissance nominale.</w:t>
      </w:r>
    </w:p>
    <w:p>
      <w:pPr/>
      <w:r>
        <w:rPr>
          <w:rStyle w:val="font_h1"/>
        </w:rPr>
        <w:t xml:space="preserve">7. Mise en oeuvre</w:t>
      </w:r>
    </w:p>
    <w:p>
      <w:pPr/>
      <w:r>
        <w:rPr>
          <w:rStyle w:val="font_h1"/>
        </w:rPr>
        <w:t xml:space="preserve">8. Entretien</w:t>
      </w:r>
    </w:p>
    <w:p>
      <w:pPr/>
      <w:r>
        <w:rPr>
          <w:rStyle w:val="font_h1"/>
        </w:rPr>
        <w:t xml:space="preserve">9. Assistance technique et distribution commerciale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AF10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C9A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B97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5A9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BDFC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2025-12-07T19:09:34+01:00</dcterms:created>
  <dcterms:modified xsi:type="dcterms:W3CDTF">2025-12-07T19:09:34+01:00</dcterms:modified>
</cp:coreProperties>
</file>

<file path=docProps/custom.xml><?xml version="1.0" encoding="utf-8"?>
<Properties xmlns="http://schemas.openxmlformats.org/officeDocument/2006/custom-properties" xmlns:vt="http://schemas.openxmlformats.org/officeDocument/2006/docPropsVTypes"/>
</file>