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à circuit de combustion étanche</w:t>
      </w:r>
    </w:p>
    <w:p>
      <w:pPr/>
      <w:r>
        <w:rPr>
          <w:rStyle w:val="font_h1"/>
        </w:rPr>
        <w:t xml:space="preserve">1. Principe</w:t>
      </w:r>
    </w:p>
    <w:p>
      <w:pPr/>
      <w:r>
        <w:rPr/>
        <w:t xml:space="preserve">Validé par le Groupe Spécialisé le 06/02/2025</w:t>
      </w:r>
    </w:p>
    <w:p>
      <w:pPr/>
      <w:r>
        <w:rPr>
          <w:b/>
          <w:bCs/>
        </w:rPr>
        <w:t xml:space="preserve">Description</w:t>
      </w:r>
    </w:p>
    <w:p>
      <w:pPr/>
      <w:r>
        <w:rPr/>
        <w:t xml:space="preserve">Décrire succinctement les différentes versions du système (concentrique, dissociée, séparée, réutilisation de conduit existant) et les types d'appareil à gaz à circuit de combustion étanche compatibles avec le système par référence aux types définis dans la NF EN 1749 : 2015 : C6(C3, C5, C9).</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06/02/2025</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 </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04/02/2021</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1"/>
        </w:numPr>
      </w:pPr>
      <w:r>
        <w:rPr/>
        <w:t xml:space="preserve">Conduits d'évacuation des produits de combustion et d'amenée d'air comburant (éléments droits, conduits coulissants, Tés, coudes, raccords flexible/rigide, raccords flexible/flexible ...)</w:t>
      </w:r>
    </w:p>
    <w:p>
      <w:pPr>
        <w:pPr/>
        <w:numPr>
          <w:ilvl w:val="0"/>
          <w:numId w:val="11"/>
        </w:numPr>
      </w:pPr>
      <w:r>
        <w:rPr/>
        <w:t xml:space="preserve">Terminaux conformes à l'EN 14989-1 (préciser le taux de recirculation moyen) quel que soit la configuration (en concentrique, en réutilisation de conduit existant et en séparée)</w:t>
      </w:r>
    </w:p>
    <w:p>
      <w:pPr>
        <w:pPr/>
        <w:numPr>
          <w:ilvl w:val="0"/>
          <w:numId w:val="11"/>
        </w:numPr>
      </w:pPr>
      <w:r>
        <w:rPr/>
        <w:t xml:space="preserve">Joints (préciser la désignation des joints selon EN 14241-1)</w:t>
      </w:r>
    </w:p>
    <w:p>
      <w:pPr>
        <w:pPr/>
        <w:numPr>
          <w:ilvl w:val="0"/>
          <w:numId w:val="11"/>
        </w:numPr>
      </w:pPr>
      <w:r>
        <w:rPr/>
        <w:t xml:space="preserve">Siphon</w:t>
      </w:r>
    </w:p>
    <w:p>
      <w:pPr>
        <w:pPr/>
        <w:numPr>
          <w:ilvl w:val="0"/>
          <w:numId w:val="11"/>
        </w:numPr>
      </w:pPr>
      <w:r>
        <w:rPr/>
        <w:t xml:space="preserve">Accessoires</w:t>
      </w:r>
    </w:p>
    <w:p>
      <w:pPr/>
      <w:r>
        <w:rPr>
          <w:b/>
          <w:bCs/>
        </w:rPr>
        <w:t xml:space="preserve">Justification</w:t>
      </w:r>
    </w:p>
    <w:p>
      <w:pPr/>
      <w:r>
        <w:rPr/>
        <w:t xml:space="preserve">Justifications liées au marquage CE :</w:t>
      </w:r>
    </w:p>
    <w:p>
      <w:pPr>
        <w:pPr/>
        <w:numPr>
          <w:ilvl w:val="0"/>
          <w:numId w:val="12"/>
        </w:numPr>
      </w:pPr>
      <w:r>
        <w:rPr/>
        <w:t xml:space="preserve">Rapports d'essai du marquage CE</w:t>
      </w:r>
    </w:p>
    <w:p>
      <w:pPr>
        <w:pPr/>
        <w:numPr>
          <w:ilvl w:val="0"/>
          <w:numId w:val="12"/>
        </w:numPr>
      </w:pPr>
      <w:r>
        <w:rPr/>
        <w:t xml:space="preserve">Certificat de CPU du marquage CE</w:t>
      </w:r>
    </w:p>
    <w:p>
      <w:pPr>
        <w:pPr/>
        <w:numPr>
          <w:ilvl w:val="0"/>
          <w:numId w:val="12"/>
        </w:numPr>
      </w:pPr>
      <w:r>
        <w:rPr/>
        <w:t xml:space="preserve">Déclaration de Performance (DoP) pour l'ensemble des produits</w:t>
      </w:r>
    </w:p>
    <w:p>
      <w:pPr/>
      <w:r>
        <w:rPr/>
        <w:t xml:space="preserve">Autres essais :</w:t>
      </w:r>
    </w:p>
    <w:p>
      <w:pPr>
        <w:pPr/>
        <w:numPr>
          <w:ilvl w:val="0"/>
          <w:numId w:val="13"/>
        </w:numPr>
      </w:pPr>
      <w:r>
        <w:rPr/>
        <w:t xml:space="preserve">Essai de traction du raccord flexible / flexible si ce composant existe</w:t>
      </w:r>
    </w:p>
    <w:p>
      <w:pPr>
        <w:pPr/>
        <w:numPr>
          <w:ilvl w:val="0"/>
          <w:numId w:val="13"/>
        </w:numPr>
      </w:pPr>
      <w:r>
        <w:rPr/>
        <w:t xml:space="preserve">Essai de recirculation des terminaux conformes à l'exigence de l'EN 14989-1 (pour les appareils à gaz de type C6)  A partir d'une gamme comportant 4 diamètres, 2 diamètres au minimum doivent être testés</w:t>
      </w:r>
    </w:p>
    <w:p>
      <w:pPr>
        <w:pPr/>
        <w:numPr>
          <w:ilvl w:val="0"/>
          <w:numId w:val="13"/>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4"/>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4"/>
        </w:numPr>
      </w:pPr>
      <w:r>
        <w:rPr/>
        <w:t xml:space="preserve">pour les terminaux : taux de recirculation moyen conforme à l'EN 14989-1, caractéristique anti-volatile</w:t>
      </w:r>
    </w:p>
    <w:p>
      <w:pPr/>
      <w:r>
        <w:rPr/>
        <w:t xml:space="preserve">Lorsqu'un même conduit individuel d’évacuation des produits de combustion contient des éléments de nature différente (par exemple avec des conduits PP et PVDF) vérifier que :</w:t>
      </w:r>
    </w:p>
    <w:p>
      <w:pPr>
        <w:pPr/>
        <w:numPr>
          <w:ilvl w:val="0"/>
          <w:numId w:val="15"/>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5"/>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6"/>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6"/>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04/02/2021</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04/02/2021</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de l’appareil à gaz pouvant être raccordé ou le type de configuration (concentrique, dissociée, séparée, réutilisation de conduit existant)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04/02/2021</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04/02/2021</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04/02/2021</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04/02/2021</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06/02/2025</w:t>
      </w:r>
    </w:p>
    <w:p>
      <w:pPr/>
      <w:r>
        <w:rPr>
          <w:b/>
          <w:bCs/>
        </w:rPr>
        <w:t xml:space="preserve">Description</w:t>
      </w:r>
    </w:p>
    <w:p>
      <w:pPr/>
      <w:r>
        <w:rPr/>
        <w:t xml:space="preserve">Indiquer les prescriptions générales de dimensionnement et de conception du système par renvoi au Cahier des Prescriptions Techniques communes concernant les systèmes individuels d’amenée d’air comburant et d’évacuation des produits de combustion raccordés à des appareils à gaz à circuit de combustion étanche de Type C6 (e-cahier du CSTB n° 3592_V4).</w:t>
      </w:r>
    </w:p>
    <w:p>
      <w:pPr/>
      <w:r>
        <w:rPr/>
        <w:t xml:space="preserve">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06/02/2025</w:t>
      </w:r>
    </w:p>
    <w:p>
      <w:pPr/>
      <w:r>
        <w:rPr>
          <w:b/>
          <w:bCs/>
        </w:rPr>
        <w:t xml:space="preserve">Description</w:t>
      </w:r>
    </w:p>
    <w:p>
      <w:pPr/>
      <w:r>
        <w:rPr/>
        <w:t xml:space="preserve">Préciser les dispositions de conception générales complémentaires à celles prévues dans le Cahier des Prescriptions Techniques communes concernant les systèmes individuels d’amenée d’air comburant et d’évacuation des produits de combustion raccordés à des appareils à gaz à circuit de combustion étanche de Type C6 (e-cahier du CSTB n° 3592_V4).</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type d'appareils raccordables, protection contre les chocs, protection éventuelle contre les UV</w:t>
      </w:r>
    </w:p>
    <w:p>
      <w:pPr>
        <w:pPr/>
        <w:numPr>
          <w:ilvl w:val="0"/>
          <w:numId w:val="18"/>
        </w:numPr>
      </w:pPr>
      <w:r>
        <w:rPr/>
        <w:t xml:space="preserve">pour la réutilisation d'un conduit de fumée individuel existant : type d'appareils raccordables, section minimale du conduit de fumée existant</w:t>
      </w:r>
    </w:p>
    <w:p>
      <w:pPr>
        <w:pPr/>
        <w:numPr>
          <w:ilvl w:val="0"/>
          <w:numId w:val="18"/>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04/02/2021</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04/02/2021</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06/02/2025</w:t>
      </w:r>
    </w:p>
    <w:p>
      <w:pPr/>
      <w:r>
        <w:rPr>
          <w:b/>
          <w:bCs/>
        </w:rPr>
        <w:t xml:space="preserve">Description</w:t>
      </w:r>
    </w:p>
    <w:p>
      <w:pPr/>
      <w:r>
        <w:rPr/>
        <w:t xml:space="preserve">Préciser les règles générales de mise en oeuvre du système par référence au Cahier des Prescriptions Techniques communes concernant les systèmesindividuels d'amenée d'air comburant et d'évacuation des produits de combustion raccordés à des appareils à gaz à circuit de combustion étanche de Type C6, de puissance maximale ≤ 70 kW (e-cahier du CSTB n° 3592_V4).</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gaz,</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06/02/2025</w:t>
      </w:r>
    </w:p>
    <w:p>
      <w:pPr/>
      <w:r>
        <w:rPr>
          <w:b/>
          <w:bCs/>
        </w:rPr>
        <w:t xml:space="preserve">Description</w:t>
      </w:r>
    </w:p>
    <w:p>
      <w:pPr/>
      <w:r>
        <w:rPr/>
        <w:t xml:space="preserve">Préciser que l’entretien du système doit se faire selon la réglementation en vigueur.Pour les appareils à gaz, l’entretien du système doit être réalisé tous les ans. Il consiste, a minima, en une vérification de l’état général dusystème complet, un contrôle de la vacuité et une vérification du système d’évacuation des condensats.</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04/02/2021</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1AF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4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8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8D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F7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54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34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BB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26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D7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94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2025-12-15T03:55:43+01:00</dcterms:created>
  <dcterms:modified xsi:type="dcterms:W3CDTF">2025-12-15T03:55:43+01:00</dcterms:modified>
</cp:coreProperties>
</file>

<file path=docProps/custom.xml><?xml version="1.0" encoding="utf-8"?>
<Properties xmlns="http://schemas.openxmlformats.org/officeDocument/2006/custom-properties" xmlns:vt="http://schemas.openxmlformats.org/officeDocument/2006/docPropsVTypes"/>
</file>