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30/05/2026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d'évacuation des produits de combustion et d’amenée d’air comburant pour appareil à gaz et chaudière fioul à circuit de combustion étanche</w:t>
      </w:r>
    </w:p>
    <w:p>
      <w:pPr/>
      <w:r>
        <w:rPr>
          <w:rStyle w:val="font_h1"/>
        </w:rPr>
        <w:t xml:space="preserve">1. Principe</w:t>
      </w:r>
    </w:p>
    <w:p>
      <w:pPr/>
      <w:r>
        <w:rPr/>
        <w:t xml:space="preserve">Validé par le Groupe Spécialisé le 06/02/2025</w:t>
      </w:r>
    </w:p>
    <w:p>
      <w:pPr/>
      <w:r>
        <w:rPr>
          <w:b/>
          <w:bCs/>
        </w:rPr>
        <w:t xml:space="preserve">Description</w:t>
      </w:r>
    </w:p>
    <w:p>
      <w:pPr/>
      <w:r>
        <w:rPr/>
        <w:t xml:space="preserve">Décrire succinctement les différentes versions du système (concentrique, dissociée, séparée, réutilisation de conduit existant) et les types d'appareil à gaz à circuit de combustion étanche compatibles avec le système par référence aux types définis dans la NF EN 1749 : 2015 : C6(C3, C5, C9).</w:t>
      </w:r>
    </w:p>
    <w:p>
      <w:pPr/>
      <w:r>
        <w:rPr/>
        <w:t xml:space="preserve">Préciser si le système peut être placé à l'intérieur et/ou à l'extérieur des bâtiments.</w:t>
      </w:r>
    </w:p>
    <w:p>
      <w:pPr/>
      <w:r>
        <w:rPr/>
        <w:t xml:space="preserve">Préciser la (les) désignation(s) d'ouvrage(s) du système : Txxx P1/H1 W1 O(xx)</w:t>
      </w:r>
    </w:p>
    <w:p>
      <w:pPr/>
      <w:r>
        <w:rPr/>
        <w:t xml:space="preserve">Note : En réutilisation de conduit de fumée existant, la distance aux matériaux combustibles est à considérer par rapport à la face extérieure du conduit de fumée existant.</w:t>
      </w:r>
    </w:p>
    <w:p>
      <w:pPr/>
      <w:r>
        <w:rPr/>
        <w:t xml:space="preserve">Ces systèmes n’étant pas destinés à restituer la ventilation haute du local dans le cas du remplacement d'un appareil de type B1, modifier la phrase comme suit : « Dans le cas du remplacement d'un appareil de type B1 comportant un coupe-tirage servant de ventilation haute, et situé dans le volume habitable, par un appareil de type C, il convient de restituer une ventilation haute du local indépendante du conduit existant. »</w:t>
      </w:r>
    </w:p>
    <w:p>
      <w:pPr/>
      <w:r>
        <w:rPr>
          <w:rStyle w:val="font_h1"/>
        </w:rPr>
        <w:t xml:space="preserve">2. Domaine d'emploi</w:t>
      </w:r>
    </w:p>
    <w:p>
      <w:pPr/>
      <w:r>
        <w:rPr/>
        <w:t xml:space="preserve">Validé par le Groupe Spécialisé le 06/02/2025</w:t>
      </w:r>
    </w:p>
    <w:p>
      <w:pPr/>
      <w:r>
        <w:rPr>
          <w:b/>
          <w:bCs/>
        </w:rPr>
        <w:t xml:space="preserve">Description</w:t>
      </w:r>
    </w:p>
    <w:p>
      <w:pPr/>
      <w:r>
        <w:rPr/>
        <w:t xml:space="preserve">Décrire les caractéristiques des appareils à gaz compatibles avec le système : type selon la NF EN 1749:2020 , température des produits de combustion, pression positive à la buse, puissance maximale inférieure ou égale à 70 kW, conformité au règlement Eco-conception UE 813/2013 ou au règlement Eco-conception UE 814/2013.</w:t>
      </w:r>
    </w:p>
    <w:p>
      <w:pPr/>
      <w:r>
        <w:rPr/>
        <w:t xml:space="preserve">Préciser que :</w:t>
      </w:r>
    </w:p>
    <w:p>
      <w:pPr>
        <w:pPr/>
        <w:numPr>
          <w:ilvl w:val="0"/>
          <w:numId w:val="9"/>
        </w:numPr>
      </w:pPr>
      <w:r>
        <w:rPr/>
        <w:t xml:space="preserve">les appareils à gaz doivent être titulaires d'un marquage CE avec la France comme pays de destination,</w:t>
      </w:r>
    </w:p>
    <w:p>
      <w:pPr>
        <w:pPr/>
        <w:numPr>
          <w:ilvl w:val="0"/>
          <w:numId w:val="9"/>
        </w:numPr>
      </w:pPr>
      <w:r>
        <w:rPr/>
        <w:t xml:space="preserve">l’adaptateur éventuel entre les buses de l’appareil et les conduits d’amenée d’air comburant et d’évacuation des produits de combustion est défini par le fabricant de l’appareil. </w:t>
      </w:r>
    </w:p>
    <w:p>
      <w:pPr/>
      <w:r>
        <w:rPr/>
        <w:t xml:space="preserve">Indiquer les types de bâtiments et de locaux visés par le domaine d'emploi :</w:t>
      </w:r>
    </w:p>
    <w:p>
      <w:pPr>
        <w:pPr/>
        <w:numPr>
          <w:ilvl w:val="0"/>
          <w:numId w:val="10"/>
        </w:numPr>
      </w:pPr>
      <w:r>
        <w:rPr/>
        <w:t xml:space="preserve">dans l’habitat individuel et l’habitat collectif,</w:t>
      </w:r>
    </w:p>
    <w:p>
      <w:pPr>
        <w:pPr/>
        <w:numPr>
          <w:ilvl w:val="0"/>
          <w:numId w:val="10"/>
        </w:numPr>
      </w:pPr>
      <w:r>
        <w:rPr/>
        <w:t xml:space="preserve">dans les ERP </w:t>
      </w:r>
    </w:p>
    <w:p>
      <w:pPr>
        <w:pPr/>
        <w:numPr>
          <w:ilvl w:val="0"/>
          <w:numId w:val="10"/>
        </w:numPr>
      </w:pPr>
      <w:r>
        <w:rPr/>
        <w:t xml:space="preserve">dans les bâtiments relevant du Code de Travail.</w:t>
      </w:r>
    </w:p>
    <w:p>
      <w:pPr/>
      <w:r>
        <w:rPr>
          <w:b/>
          <w:bCs/>
        </w:rPr>
        <w:t xml:space="preserve">Critères d'évaluation</w:t>
      </w:r>
    </w:p>
    <w:p>
      <w:pPr/>
      <w:r>
        <w:rPr/>
        <w:t xml:space="preserve">Les caractéristiques des appareils doivent être compatibles avec la désignation des conduits et avec la désignation de l'ouvrage.</w:t>
      </w:r>
    </w:p>
    <w:p>
      <w:pPr/>
      <w:r>
        <w:rPr/>
        <w:t xml:space="preserve">La réglementation applicable aux différents types de bâtiments et de locaux doit être compatible avec l'installation du système.</w:t>
      </w:r>
    </w:p>
    <w:p>
      <w:pPr/>
      <w:r>
        <w:rPr>
          <w:rStyle w:val="font_h1"/>
        </w:rPr>
        <w:t xml:space="preserve">3. Eléments constitutifs</w:t>
      </w:r>
    </w:p>
    <w:p>
      <w:pPr/>
      <w:r>
        <w:rPr/>
        <w:t xml:space="preserve">Validé par le Groupe Spécialisé le 04/02/2021</w:t>
      </w:r>
    </w:p>
    <w:p>
      <w:pPr/>
      <w:r>
        <w:rPr>
          <w:b/>
          <w:bCs/>
        </w:rPr>
        <w:t xml:space="preserve">Description</w:t>
      </w:r>
    </w:p>
    <w:p>
      <w:pPr/>
      <w:r>
        <w:rPr/>
        <w:t xml:space="preserve">Décrire l'ensemble des composants constituant le système.</w:t>
      </w:r>
    </w:p>
    <w:p>
      <w:pPr/>
      <w:r>
        <w:rPr>
          <w:b/>
          <w:bCs/>
        </w:rPr>
        <w:t xml:space="preserve">Illustration</w:t>
      </w:r>
    </w:p>
    <w:p>
      <w:pPr/>
      <w:r>
        <w:rPr/>
        <w:t xml:space="preserve">Réaliser une figure pour chaque version du système</w:t>
      </w:r>
    </w:p>
    <w:p>
      <w:pPr/>
      <w:r>
        <w:rPr>
          <w:rStyle w:val="font_h1"/>
        </w:rPr>
        <w:t xml:space="preserve">4. Description des éléments</w:t>
      </w:r>
    </w:p>
    <w:p>
      <w:pPr>
        <w:ind w:left="720" w:right="0"/>
      </w:pPr>
      <w:r>
        <w:rPr>
          <w:rStyle w:val="font_h2"/>
        </w:rPr>
        <w:t xml:space="preserve">4.1. composants du système</w:t>
      </w:r>
    </w:p>
    <w:p>
      <w:pPr/>
      <w:r>
        <w:rPr/>
        <w:t xml:space="preserve">Validé par le Groupe Spécialisé le 06/02/2025</w:t>
      </w:r>
    </w:p>
    <w:p>
      <w:pPr/>
      <w:r>
        <w:rPr>
          <w:b/>
          <w:bCs/>
        </w:rPr>
        <w:t xml:space="preserve">Description</w:t>
      </w:r>
    </w:p>
    <w:p>
      <w:pPr/>
      <w:r>
        <w:rPr/>
        <w:t xml:space="preserve">Décrire de façon détaillée chaque composant du système en intégrant notamment la nature du composant (nuance d'inox ou d'aluminium, type de plastique), les caractéristiques dimensionnelles, la nature des joints, la désignation CE des composants et la norme de référence (EN 1856-1, EN 1856-2, EN 14471, EN 14989-1, EN 14989-2) :</w:t>
      </w:r>
    </w:p>
    <w:p>
      <w:pPr>
        <w:pPr/>
        <w:numPr>
          <w:ilvl w:val="0"/>
          <w:numId w:val="11"/>
        </w:numPr>
      </w:pPr>
      <w:r>
        <w:rPr/>
        <w:t xml:space="preserve">Conduits d'évacuation des produits de combustion et d'amenée d'air comburant (éléments droits, conduits coulissants, Tés, coudes, raccords flexible/rigide, raccords flexible/flexible ...)</w:t>
      </w:r>
    </w:p>
    <w:p>
      <w:pPr>
        <w:pPr/>
        <w:numPr>
          <w:ilvl w:val="0"/>
          <w:numId w:val="11"/>
        </w:numPr>
      </w:pPr>
      <w:r>
        <w:rPr/>
        <w:t xml:space="preserve">Terminaux conformes à l'EN 14989-1 (préciser le taux de recirculation moyen) quel que soit la configuration (en concentrique, en réutilisation de conduit existant et en séparée)</w:t>
      </w:r>
    </w:p>
    <w:p>
      <w:pPr>
        <w:pPr/>
        <w:numPr>
          <w:ilvl w:val="0"/>
          <w:numId w:val="11"/>
        </w:numPr>
      </w:pPr>
      <w:r>
        <w:rPr/>
        <w:t xml:space="preserve">Joints (préciser la désignation des joints selon EN 14241-1)</w:t>
      </w:r>
    </w:p>
    <w:p>
      <w:pPr>
        <w:pPr/>
        <w:numPr>
          <w:ilvl w:val="0"/>
          <w:numId w:val="11"/>
        </w:numPr>
      </w:pPr>
      <w:r>
        <w:rPr/>
        <w:t xml:space="preserve">Siphon</w:t>
      </w:r>
    </w:p>
    <w:p>
      <w:pPr>
        <w:pPr/>
        <w:numPr>
          <w:ilvl w:val="0"/>
          <w:numId w:val="11"/>
        </w:numPr>
      </w:pPr>
      <w:r>
        <w:rPr/>
        <w:t xml:space="preserve">Accessoires</w:t>
      </w:r>
    </w:p>
    <w:p>
      <w:pPr/>
      <w:r>
        <w:rPr>
          <w:b/>
          <w:bCs/>
        </w:rPr>
        <w:t xml:space="preserve">Justification</w:t>
      </w:r>
    </w:p>
    <w:p>
      <w:pPr/>
      <w:r>
        <w:rPr/>
        <w:t xml:space="preserve">Justifications liées au marquage CE :</w:t>
      </w:r>
    </w:p>
    <w:p>
      <w:pPr>
        <w:pPr/>
        <w:numPr>
          <w:ilvl w:val="0"/>
          <w:numId w:val="12"/>
        </w:numPr>
      </w:pPr>
      <w:r>
        <w:rPr/>
        <w:t xml:space="preserve">Rapports d'essai du marquage CE</w:t>
      </w:r>
    </w:p>
    <w:p>
      <w:pPr>
        <w:pPr/>
        <w:numPr>
          <w:ilvl w:val="0"/>
          <w:numId w:val="12"/>
        </w:numPr>
      </w:pPr>
      <w:r>
        <w:rPr/>
        <w:t xml:space="preserve">Certificat de CPU du marquage CE</w:t>
      </w:r>
    </w:p>
    <w:p>
      <w:pPr>
        <w:pPr/>
        <w:numPr>
          <w:ilvl w:val="0"/>
          <w:numId w:val="12"/>
        </w:numPr>
      </w:pPr>
      <w:r>
        <w:rPr/>
        <w:t xml:space="preserve">Déclaration de Performance (DoP) pour l'ensemble des produits</w:t>
      </w:r>
    </w:p>
    <w:p>
      <w:pPr/>
      <w:r>
        <w:rPr/>
        <w:t xml:space="preserve">Autres essais :</w:t>
      </w:r>
    </w:p>
    <w:p>
      <w:pPr>
        <w:pPr/>
        <w:numPr>
          <w:ilvl w:val="0"/>
          <w:numId w:val="13"/>
        </w:numPr>
      </w:pPr>
      <w:r>
        <w:rPr/>
        <w:t xml:space="preserve">Essai de traction du raccord flexible / flexible si ce composant existe</w:t>
      </w:r>
    </w:p>
    <w:p>
      <w:pPr>
        <w:pPr/>
        <w:numPr>
          <w:ilvl w:val="0"/>
          <w:numId w:val="13"/>
        </w:numPr>
      </w:pPr>
      <w:r>
        <w:rPr/>
        <w:t xml:space="preserve">Essai de recirculation des terminaux conformes à l'exigence de l'EN 14989-1 (pour les appareils à gaz de type C6)  A partir d'une gamme comportant 4 diamètres, 2 diamètres au minimum doivent être testés</w:t>
      </w:r>
    </w:p>
    <w:p>
      <w:pPr>
        <w:pPr/>
        <w:numPr>
          <w:ilvl w:val="0"/>
          <w:numId w:val="13"/>
        </w:numPr>
      </w:pPr>
      <w:r>
        <w:rPr/>
        <w:t xml:space="preserve">Fourniture de référence pour l'application considérée</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14"/>
        </w:numPr>
      </w:pPr>
      <w:r>
        <w:rPr/>
        <w:t xml:space="preserve">pour les conduits : résistance à la température, étanchéité au gaz du conduit de fumée et du conduit d'amenée d'air comburant, résistance aux condensats, résistance à la corrosion, distance aux matériaux combustibles</w:t>
      </w:r>
    </w:p>
    <w:p>
      <w:pPr>
        <w:pPr/>
        <w:numPr>
          <w:ilvl w:val="0"/>
          <w:numId w:val="14"/>
        </w:numPr>
      </w:pPr>
      <w:r>
        <w:rPr/>
        <w:t xml:space="preserve">pour les terminaux : taux de recirculation moyen conforme à l'EN 14989-1, caractéristique anti-volatile</w:t>
      </w:r>
    </w:p>
    <w:p>
      <w:pPr/>
      <w:r>
        <w:rPr/>
        <w:t xml:space="preserve">Lorsqu'un même conduit individuel d’évacuation des produits de combustion contient des éléments de nature différente (par exemple avec des conduits PP et PVDF) vérifier que :</w:t>
      </w:r>
    </w:p>
    <w:p>
      <w:pPr>
        <w:pPr/>
        <w:numPr>
          <w:ilvl w:val="0"/>
          <w:numId w:val="15"/>
        </w:numPr>
      </w:pPr>
      <w:r>
        <w:rPr/>
        <w:t xml:space="preserve">les conduits sont de même nature sur la partie « conduit vertical au-dessus du coude ou du té » et sur la partie « conduit horizontal entre la buse de l’appareil et le pied conduit vertical »</w:t>
      </w:r>
    </w:p>
    <w:p>
      <w:pPr>
        <w:pPr/>
        <w:numPr>
          <w:ilvl w:val="0"/>
          <w:numId w:val="15"/>
        </w:numPr>
      </w:pPr>
      <w:r>
        <w:rPr/>
        <w:t xml:space="preserve">la désignation de l’ouvrage corresponde à la désignation du produit la plus contraignante (correspondant aux classes les plus faibles)</w:t>
      </w:r>
    </w:p>
    <w:p>
      <w:pPr/>
      <w:r>
        <w:rPr/>
        <w:t xml:space="preserve">Dans ce cas :</w:t>
      </w:r>
    </w:p>
    <w:p>
      <w:pPr>
        <w:pPr/>
        <w:numPr>
          <w:ilvl w:val="0"/>
          <w:numId w:val="16"/>
        </w:numPr>
      </w:pPr>
      <w:r>
        <w:rPr/>
        <w:t xml:space="preserve">le(s) titulaire(s) devra(ont) être responsable(s) de l’ensemble des composants : donc établir une DoP sur ces produits et fournir les éléments de justifications associés (certificat de CPU et essais de marquage CE)</w:t>
      </w:r>
    </w:p>
    <w:p>
      <w:pPr>
        <w:pPr/>
        <w:numPr>
          <w:ilvl w:val="0"/>
          <w:numId w:val="16"/>
        </w:numPr>
      </w:pPr>
      <w:r>
        <w:rPr/>
        <w:t xml:space="preserve">le(s) titulaire(s) devra(ont) justifier de la compatibilité entre les 2 types de composants utilisés par un essai d’étanchéité d’une éventuelle pièce d’adaptation.</w:t>
      </w:r>
    </w:p>
    <w:p>
      <w:pPr>
        <w:ind w:left="720" w:right="0"/>
      </w:pPr>
      <w:r>
        <w:rPr>
          <w:rStyle w:val="font_h2"/>
        </w:rPr>
        <w:t xml:space="preserve">4.2. Identification des éléments</w:t>
      </w:r>
    </w:p>
    <w:p>
      <w:pPr/>
      <w:r>
        <w:rPr/>
        <w:t xml:space="preserve">Validé par le Groupe Spécialisé le 04/02/2021</w:t>
      </w:r>
    </w:p>
    <w:p>
      <w:pPr/>
      <w:r>
        <w:rPr>
          <w:b/>
          <w:bCs/>
        </w:rPr>
        <w:t xml:space="preserve">Description</w:t>
      </w:r>
    </w:p>
    <w:p>
      <w:pPr/>
      <w:r>
        <w:rPr/>
        <w:t xml:space="preserve">Indiquer le marquage des produits, en intégrant les exigences minimales à respecter pour le marquage CE.</w:t>
      </w:r>
    </w:p>
    <w:p>
      <w:pPr/>
      <w:r>
        <w:rPr>
          <w:b/>
          <w:bCs/>
        </w:rPr>
        <w:t xml:space="preserve">Critères d'évaluation</w:t>
      </w:r>
    </w:p>
    <w:p>
      <w:pPr/>
      <w:r>
        <w:rPr/>
        <w:t xml:space="preserve">Respect des exigences prévues par les normes européennes pour le marquage CE</w:t>
      </w:r>
    </w:p>
    <w:p>
      <w:pPr>
        <w:ind w:left="720" w:right="0"/>
      </w:pPr>
      <w:r>
        <w:rPr>
          <w:rStyle w:val="font_h2"/>
        </w:rPr>
        <w:t xml:space="preserve">4.3. Identification des ouvrages</w:t>
      </w:r>
    </w:p>
    <w:p>
      <w:pPr/>
      <w:r>
        <w:rPr/>
        <w:t xml:space="preserve">Validé par le Groupe Spécialisé le 04/02/2021</w:t>
      </w:r>
    </w:p>
    <w:p>
      <w:pPr/>
      <w:r>
        <w:rPr>
          <w:b/>
          <w:bCs/>
        </w:rPr>
        <w:t xml:space="preserve">Description</w:t>
      </w:r>
    </w:p>
    <w:p>
      <w:pPr/>
      <w:r>
        <w:rPr/>
        <w:t xml:space="preserve">Indiquer le contenu de la plaque signalétique de l'ouvrage et son positionnement.</w:t>
      </w:r>
    </w:p>
    <w:p>
      <w:pPr/>
      <w:r>
        <w:rPr/>
        <w:t xml:space="preserve">Elle précise au minimum :</w:t>
      </w:r>
    </w:p>
    <w:p>
      <w:pPr>
        <w:pPr/>
        <w:numPr>
          <w:ilvl w:val="0"/>
          <w:numId w:val="17"/>
        </w:numPr>
      </w:pPr>
      <w:r>
        <w:rPr/>
        <w:t xml:space="preserve">le nom du titulaire du Document Technique d'Application ;</w:t>
      </w:r>
    </w:p>
    <w:p>
      <w:pPr>
        <w:pPr/>
        <w:numPr>
          <w:ilvl w:val="0"/>
          <w:numId w:val="17"/>
        </w:numPr>
      </w:pPr>
      <w:r>
        <w:rPr/>
        <w:t xml:space="preserve">le nom du système ;</w:t>
      </w:r>
    </w:p>
    <w:p>
      <w:pPr>
        <w:pPr/>
        <w:numPr>
          <w:ilvl w:val="0"/>
          <w:numId w:val="17"/>
        </w:numPr>
      </w:pPr>
      <w:r>
        <w:rPr/>
        <w:t xml:space="preserve">le type de l’appareil à gaz pouvant être raccordé ou le type de configuration (concentrique, dissociée, séparée, réutilisation de conduit existant) ;</w:t>
      </w:r>
    </w:p>
    <w:p>
      <w:pPr>
        <w:pPr/>
        <w:numPr>
          <w:ilvl w:val="0"/>
          <w:numId w:val="17"/>
        </w:numPr>
      </w:pPr>
      <w:r>
        <w:rPr/>
        <w:t xml:space="preserve">le numéro du DTA et la norme associée ; </w:t>
      </w:r>
    </w:p>
    <w:p>
      <w:pPr>
        <w:pPr/>
        <w:numPr>
          <w:ilvl w:val="0"/>
          <w:numId w:val="17"/>
        </w:numPr>
      </w:pPr>
      <w:r>
        <w:rPr/>
        <w:t xml:space="preserve">la désignation de l’ouvrage selon la norme NF EN 1443 (ou NF EN 15287-2);</w:t>
      </w:r>
    </w:p>
    <w:p>
      <w:pPr>
        <w:pPr/>
        <w:numPr>
          <w:ilvl w:val="0"/>
          <w:numId w:val="17"/>
        </w:numPr>
      </w:pPr>
      <w:r>
        <w:rPr/>
        <w:t xml:space="preserve">la mention « Entretien selon la réglementation en vigueur ».</w:t>
      </w:r>
    </w:p>
    <w:p>
      <w:pPr/>
      <w:r>
        <w:rPr>
          <w:b/>
          <w:bCs/>
        </w:rPr>
        <w:t xml:space="preserve">Illustration</w:t>
      </w:r>
    </w:p>
    <w:p>
      <w:pPr/>
      <w:r>
        <w:rPr/>
        <w:t xml:space="preserve">Fournir un exemple de plaque signalétique</w:t>
      </w:r>
    </w:p>
    <w:p>
      <w:pPr/>
      <w:r>
        <w:rPr>
          <w:rStyle w:val="font_h1"/>
        </w:rPr>
        <w:t xml:space="preserve">5. Fabrication et contrôles</w:t>
      </w:r>
    </w:p>
    <w:p>
      <w:pPr>
        <w:ind w:left="720" w:right="0"/>
      </w:pPr>
      <w:r>
        <w:rPr>
          <w:rStyle w:val="font_h2"/>
        </w:rPr>
        <w:t xml:space="preserve">5.1. Matières premières</w:t>
      </w:r>
    </w:p>
    <w:p>
      <w:pPr/>
      <w:r>
        <w:rPr/>
        <w:t xml:space="preserve">Validé par le Groupe Spécialisé le 04/02/2021</w:t>
      </w:r>
    </w:p>
    <w:p>
      <w:pPr/>
      <w:r>
        <w:rPr>
          <w:b/>
          <w:bCs/>
        </w:rPr>
        <w:t xml:space="preserve">Description</w:t>
      </w:r>
    </w:p>
    <w:p>
      <w:pPr/>
      <w:r>
        <w:rPr/>
        <w:t xml:space="preserve">Préciser la nature des matières premières utilisées et les contrôles à réception réalisés.Le cas échéant, indiquer les contrôles à réception pour les produits réalisés en sous-traitance.</w:t>
      </w:r>
    </w:p>
    <w:p>
      <w:pPr>
        <w:ind w:left="720" w:right="0"/>
      </w:pPr>
      <w:r>
        <w:rPr>
          <w:rStyle w:val="font_h2"/>
        </w:rPr>
        <w:t xml:space="preserve">5.2. Fabrication</w:t>
      </w:r>
    </w:p>
    <w:p>
      <w:pPr/>
      <w:r>
        <w:rPr/>
        <w:t xml:space="preserve">Validé par le Groupe Spécialisé le 04/02/2021</w:t>
      </w:r>
    </w:p>
    <w:p>
      <w:pPr/>
      <w:r>
        <w:rPr>
          <w:b/>
          <w:bCs/>
        </w:rPr>
        <w:t xml:space="preserve">Description</w:t>
      </w:r>
    </w:p>
    <w:p>
      <w:pPr/>
      <w:r>
        <w:rPr/>
        <w:t xml:space="preserve">Indiquer la localisation du site de fabrication.</w:t>
      </w:r>
    </w:p>
    <w:p>
      <w:pPr/>
      <w:r>
        <w:rPr/>
        <w:t xml:space="preserve">Décrire succinctement le processus de fabrication et les contrôles réalisés en cours de fabrication.</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5.3. Produits finis</w:t>
      </w:r>
    </w:p>
    <w:p>
      <w:pPr/>
      <w:r>
        <w:rPr/>
        <w:t xml:space="preserve">Validé par le Groupe Spécialisé le 04/02/2021</w:t>
      </w:r>
    </w:p>
    <w:p>
      <w:pPr/>
      <w:r>
        <w:rPr>
          <w:b/>
          <w:bCs/>
        </w:rPr>
        <w:t xml:space="preserve">Description</w:t>
      </w:r>
    </w:p>
    <w:p>
      <w:pPr/>
      <w:r>
        <w:rPr/>
        <w:t xml:space="preserve">Décrire succinctement les contrôles réalisés sur les produits finis.</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5.4. Déclarations de Performances (DoP)</w:t>
      </w:r>
    </w:p>
    <w:p>
      <w:pPr/>
      <w:r>
        <w:rPr/>
        <w:t xml:space="preserve">Validé par le Groupe Spécialisé le 04/02/2021</w:t>
      </w:r>
    </w:p>
    <w:p>
      <w:pPr/>
      <w:r>
        <w:rPr>
          <w:b/>
          <w:bCs/>
        </w:rPr>
        <w:t xml:space="preserve">Description</w:t>
      </w:r>
    </w:p>
    <w:p>
      <w:pPr/>
      <w:r>
        <w:rPr/>
        <w:t xml:space="preserve">Indiquer les numéros des Déclarations de Performances (DoP) pour chaque produit</w:t>
      </w:r>
    </w:p>
    <w:p>
      <w:pPr/>
      <w:r>
        <w:rPr>
          <w:b/>
          <w:bCs/>
        </w:rPr>
        <w:t xml:space="preserve">Justification</w:t>
      </w:r>
    </w:p>
    <w:p>
      <w:pPr/>
      <w:r>
        <w:rPr/>
        <w:t xml:space="preserve">Fournir les DoP des différents produits</w:t>
      </w:r>
    </w:p>
    <w:p>
      <w:pPr/>
      <w:r>
        <w:rPr>
          <w:b/>
          <w:bCs/>
        </w:rPr>
        <w:t xml:space="preserve">Critères d'évaluation</w:t>
      </w:r>
    </w:p>
    <w:p>
      <w:pPr/>
      <w:r>
        <w:rPr/>
        <w:t xml:space="preserve">Vérification de la cohérence entre les caractéristiques mentionnées dans les DoP et les caractéristiques des produits mentionnées au DTED</w:t>
      </w:r>
    </w:p>
    <w:p>
      <w:pPr/>
      <w:r>
        <w:rPr>
          <w:rStyle w:val="font_h1"/>
        </w:rPr>
        <w:t xml:space="preserve">6. Dimensionnement et conception</w:t>
      </w:r>
    </w:p>
    <w:p>
      <w:pPr>
        <w:ind w:left="720" w:right="0"/>
      </w:pPr>
      <w:r>
        <w:rPr>
          <w:rStyle w:val="font_h2"/>
        </w:rPr>
        <w:t xml:space="preserve">6.1. Généralités</w:t>
      </w:r>
    </w:p>
    <w:p>
      <w:pPr/>
      <w:r>
        <w:rPr/>
        <w:t xml:space="preserve">Validé par le Groupe Spécialisé le 06/02/2025</w:t>
      </w:r>
    </w:p>
    <w:p>
      <w:pPr/>
      <w:r>
        <w:rPr>
          <w:b/>
          <w:bCs/>
        </w:rPr>
        <w:t xml:space="preserve">Description</w:t>
      </w:r>
    </w:p>
    <w:p>
      <w:pPr/>
      <w:r>
        <w:rPr/>
        <w:t xml:space="preserve">Indiquer les prescriptions générales de dimensionnement et de conception du système par renvoi au Cahier des Prescriptions Techniques communes concernant les systèmes individuels d’amenée d’air comburant et d’évacuation des produits de combustion raccordés à des appareils à gaz à circuit de combustion étanche de Type C6 (e-cahier du CSTB n° 3592_V4).</w:t>
      </w:r>
    </w:p>
    <w:p>
      <w:pPr/>
      <w:r>
        <w:rPr/>
        <w:t xml:space="preserve">Préciser qui réalise le dimensionnement (le titulaire ou un éventuel distributeur du système).</w:t>
      </w:r>
    </w:p>
    <w:p>
      <w:pPr>
        <w:ind w:left="720" w:right="0"/>
      </w:pPr>
      <w:r>
        <w:rPr>
          <w:rStyle w:val="font_h2"/>
        </w:rPr>
        <w:t xml:space="preserve">6.2. Règles de conception générales dans les bâtiments d'habitation</w:t>
      </w:r>
    </w:p>
    <w:p>
      <w:pPr/>
      <w:r>
        <w:rPr/>
        <w:t xml:space="preserve">Validé par le Groupe Spécialisé le 06/02/2025</w:t>
      </w:r>
    </w:p>
    <w:p>
      <w:pPr/>
      <w:r>
        <w:rPr>
          <w:b/>
          <w:bCs/>
        </w:rPr>
        <w:t xml:space="preserve">Description</w:t>
      </w:r>
    </w:p>
    <w:p>
      <w:pPr/>
      <w:r>
        <w:rPr/>
        <w:t xml:space="preserve">Préciser les dispositions de conception générales complémentaires à celles prévues dans le Cahier des Prescriptions Techniques communes concernant les systèmes individuels d’amenée d’air comburant et d’évacuation des produits de combustion raccordés à des appareils à gaz à circuit de combustion étanche de Type C6 (e-cahier du CSTB n° 3592_V4).</w:t>
      </w:r>
    </w:p>
    <w:p>
      <w:pPr>
        <w:ind w:left="720" w:right="0"/>
      </w:pPr>
      <w:r>
        <w:rPr>
          <w:rStyle w:val="font_h2"/>
        </w:rPr>
        <w:t xml:space="preserve">6.3. Règles de conception particulières dans les bâtiments d'habitation</w:t>
      </w:r>
    </w:p>
    <w:p>
      <w:pPr/>
      <w:r>
        <w:rPr/>
        <w:t xml:space="preserve">Validé par le Groupe Spécialisé le 04/02/2021</w:t>
      </w:r>
    </w:p>
    <w:p>
      <w:pPr/>
      <w:r>
        <w:rPr>
          <w:b/>
          <w:bCs/>
        </w:rPr>
        <w:t xml:space="preserve">Description</w:t>
      </w:r>
    </w:p>
    <w:p>
      <w:pPr/>
      <w:r>
        <w:rPr/>
        <w:t xml:space="preserve">Préciser les dispositions de conception particulières :</w:t>
      </w:r>
    </w:p>
    <w:p>
      <w:pPr>
        <w:pPr/>
        <w:numPr>
          <w:ilvl w:val="0"/>
          <w:numId w:val="18"/>
        </w:numPr>
      </w:pPr>
      <w:r>
        <w:rPr/>
        <w:t xml:space="preserve">pour le montage du système à l'extérieur du bâtiment : type de configuration possible, type d'appareils raccordables, protection contre les chocs, protection éventuelle contre les UV</w:t>
      </w:r>
    </w:p>
    <w:p>
      <w:pPr>
        <w:pPr/>
        <w:numPr>
          <w:ilvl w:val="0"/>
          <w:numId w:val="18"/>
        </w:numPr>
      </w:pPr>
      <w:r>
        <w:rPr/>
        <w:t xml:space="preserve">pour la réutilisation d'un conduit de fumée individuel existant : type d'appareils raccordables, section minimale du conduit de fumée existant</w:t>
      </w:r>
    </w:p>
    <w:p>
      <w:pPr>
        <w:pPr/>
        <w:numPr>
          <w:ilvl w:val="0"/>
          <w:numId w:val="18"/>
        </w:numPr>
      </w:pPr>
      <w:r>
        <w:rPr/>
        <w:t xml:space="preserve">pour le montage du système dans un conduit de fumée individuel existant</w:t>
      </w:r>
    </w:p>
    <w:p>
      <w:pPr>
        <w:ind w:left="720" w:right="0"/>
      </w:pPr>
      <w:r>
        <w:rPr>
          <w:rStyle w:val="font_h2"/>
        </w:rPr>
        <w:t xml:space="preserve">6.4. Règles de conception particulières dans les bâtiments relevant du Code du Travail</w:t>
      </w:r>
    </w:p>
    <w:p>
      <w:pPr/>
      <w:r>
        <w:rPr/>
        <w:t xml:space="preserve">Validé par le Groupe Spécialisé le 04/02/2021</w:t>
      </w:r>
    </w:p>
    <w:p>
      <w:pPr/>
      <w:r>
        <w:rPr>
          <w:b/>
          <w:bCs/>
        </w:rPr>
        <w:t xml:space="preserve">Description</w:t>
      </w:r>
    </w:p>
    <w:p>
      <w:pPr/>
      <w:r>
        <w:rPr/>
        <w:t xml:space="preserve">Préciser les dispositions de conception particulières dans les bâtiments relevant du Code du Travail</w:t>
      </w:r>
    </w:p>
    <w:p>
      <w:pPr>
        <w:ind w:left="720" w:right="0"/>
      </w:pPr>
      <w:r>
        <w:rPr>
          <w:rStyle w:val="font_h2"/>
        </w:rPr>
        <w:t xml:space="preserve">6.5. Règles de conception particulières dans les Etablissements Recevant du Public</w:t>
      </w:r>
    </w:p>
    <w:p>
      <w:pPr/>
      <w:r>
        <w:rPr/>
        <w:t xml:space="preserve">Validé par le Groupe Spécialisé le 04/02/2021</w:t>
      </w:r>
    </w:p>
    <w:p>
      <w:pPr/>
      <w:r>
        <w:rPr>
          <w:b/>
          <w:bCs/>
        </w:rPr>
        <w:t xml:space="preserve">Description</w:t>
      </w:r>
    </w:p>
    <w:p>
      <w:pPr/>
      <w:r>
        <w:rPr/>
        <w:t xml:space="preserve">Préciser les catégories des Etablissements Recevant du Public dans lequel le système peut être installé et les dispositions de conception particulières.</w:t>
      </w:r>
    </w:p>
    <w:p>
      <w:pPr/>
      <w:r>
        <w:rPr/>
        <w:t xml:space="preserve">En particulier, pour les conduits en plastique, préciser que le système ne peut pas être raccordé à des appareils de production - émission indépendants (article CH 50 de l’arrêté du 25 juin 1980 modifié par l’arrêté du 14 février 2000 relatif au règlement de sécurité contre l’incendie dans les ERP).</w:t>
      </w:r>
    </w:p>
    <w:p>
      <w:pPr/>
      <w:r>
        <w:rPr>
          <w:b/>
          <w:bCs/>
        </w:rPr>
        <w:t xml:space="preserve">Critères d'évaluation</w:t>
      </w:r>
    </w:p>
    <w:p>
      <w:pPr/>
      <w:r>
        <w:rPr/>
        <w:t xml:space="preserve">Conformité des dispositions de conception au règlement ERP.</w:t>
      </w:r>
    </w:p>
    <w:p>
      <w:pPr/>
      <w:r>
        <w:rPr>
          <w:rStyle w:val="font_h1"/>
        </w:rPr>
        <w:t xml:space="preserve">7. Mise en oeuvre</w:t>
      </w:r>
    </w:p>
    <w:p>
      <w:pPr>
        <w:ind w:left="720" w:right="0"/>
      </w:pPr>
      <w:r>
        <w:rPr>
          <w:rStyle w:val="font_h2"/>
        </w:rPr>
        <w:t xml:space="preserve">7.1. Généralités</w:t>
      </w:r>
    </w:p>
    <w:p>
      <w:pPr/>
      <w:r>
        <w:rPr/>
        <w:t xml:space="preserve">Validé par le Groupe Spécialisé le 06/02/2025</w:t>
      </w:r>
    </w:p>
    <w:p>
      <w:pPr/>
      <w:r>
        <w:rPr>
          <w:b/>
          <w:bCs/>
        </w:rPr>
        <w:t xml:space="preserve">Description</w:t>
      </w:r>
    </w:p>
    <w:p>
      <w:pPr/>
      <w:r>
        <w:rPr/>
        <w:t xml:space="preserve">Préciser les règles générales de mise en oeuvre du système par référence au Cahier des Prescriptions Techniques communes concernant les systèmesindividuels d'amenée d'air comburant et d'évacuation des produits de combustion raccordés à des appareils à gaz à circuit de combustion étanche de Type C6, de puissance maximale ≤ 70 kW (e-cahier du CSTB n° 3592_V4).</w:t>
      </w:r>
    </w:p>
    <w:p>
      <w:pPr/>
      <w:r>
        <w:rPr/>
        <w:t xml:space="preserve">En particulier indiquer les éléments nécessaire pour :</w:t>
      </w:r>
    </w:p>
    <w:p>
      <w:pPr>
        <w:pPr/>
        <w:numPr>
          <w:ilvl w:val="0"/>
          <w:numId w:val="19"/>
        </w:numPr>
      </w:pPr>
      <w:r>
        <w:rPr/>
        <w:t xml:space="preserve">l'assemblage des conduits,</w:t>
      </w:r>
    </w:p>
    <w:p>
      <w:pPr>
        <w:pPr/>
        <w:numPr>
          <w:ilvl w:val="0"/>
          <w:numId w:val="19"/>
        </w:numPr>
      </w:pPr>
      <w:r>
        <w:rPr/>
        <w:t xml:space="preserve">le montage du terminal,</w:t>
      </w:r>
    </w:p>
    <w:p>
      <w:pPr>
        <w:pPr/>
        <w:numPr>
          <w:ilvl w:val="0"/>
          <w:numId w:val="19"/>
        </w:numPr>
      </w:pPr>
      <w:r>
        <w:rPr/>
        <w:t xml:space="preserve">le raccordement à l'appareil à gaz,</w:t>
      </w:r>
    </w:p>
    <w:p>
      <w:pPr>
        <w:pPr/>
        <w:numPr>
          <w:ilvl w:val="0"/>
          <w:numId w:val="19"/>
        </w:numPr>
      </w:pPr>
      <w:r>
        <w:rPr/>
        <w:t xml:space="preserve">le traitement des condensats,</w:t>
      </w:r>
    </w:p>
    <w:p>
      <w:pPr>
        <w:pPr/>
        <w:numPr>
          <w:ilvl w:val="0"/>
          <w:numId w:val="19"/>
        </w:numPr>
      </w:pPr>
      <w:r>
        <w:rPr/>
        <w:t xml:space="preserve">l'installation de la plaque signalétique.</w:t>
      </w:r>
    </w:p>
    <w:p>
      <w:pPr>
        <w:ind w:left="720" w:right="0"/>
      </w:pPr>
      <w:r>
        <w:rPr>
          <w:rStyle w:val="font_h2"/>
        </w:rPr>
        <w:t xml:space="preserve">7.2. Mise en oeuvre de la version concentrique du système</w:t>
      </w:r>
    </w:p>
    <w:p>
      <w:pPr/>
      <w:r>
        <w:rPr/>
        <w:t xml:space="preserve">Validé par le Groupe Spécialisé le 04/02/2021</w:t>
      </w:r>
    </w:p>
    <w:p>
      <w:pPr/>
      <w:r>
        <w:rPr>
          <w:b/>
          <w:bCs/>
        </w:rPr>
        <w:t xml:space="preserve">Description</w:t>
      </w:r>
    </w:p>
    <w:p>
      <w:pPr/>
      <w:r>
        <w:rPr/>
        <w:t xml:space="preserve">Préciser les types d'appareils raccordables, la mise en oeuvre des éléments constitutifs du système et la distance de sécurité à respecter.</w:t>
      </w:r>
    </w:p>
    <w:p>
      <w:pPr>
        <w:ind w:left="720" w:right="0"/>
      </w:pPr>
      <w:r>
        <w:rPr>
          <w:rStyle w:val="font_h2"/>
        </w:rPr>
        <w:t xml:space="preserve">7.3. Mise en oeuvre de la version dissociée du système</w:t>
      </w:r>
    </w:p>
    <w:p>
      <w:pPr/>
      <w:r>
        <w:rPr/>
        <w:t xml:space="preserve">Validé par le Groupe Spécialisé le 04/02/2021</w:t>
      </w:r>
    </w:p>
    <w:p>
      <w:pPr/>
      <w:r>
        <w:rPr>
          <w:b/>
          <w:bCs/>
        </w:rPr>
        <w:t xml:space="preserve">Description</w:t>
      </w:r>
    </w:p>
    <w:p>
      <w:pPr/>
      <w:r>
        <w:rPr/>
        <w:t xml:space="preserve">Préciser les types d'appareils raccordables, la mise en oeuvre des éléments constitutifs du système et la distance de sécurité à respecter.</w:t>
      </w:r>
    </w:p>
    <w:p>
      <w:pPr>
        <w:ind w:left="720" w:right="0"/>
      </w:pPr>
      <w:r>
        <w:rPr>
          <w:rStyle w:val="font_h2"/>
        </w:rPr>
        <w:t xml:space="preserve">7.4. Mise en oeuvre de la version séparée du système</w:t>
      </w:r>
    </w:p>
    <w:p>
      <w:pPr/>
      <w:r>
        <w:rPr/>
        <w:t xml:space="preserve">Validé par le Groupe Spécialisé le 04/02/2021</w:t>
      </w:r>
    </w:p>
    <w:p>
      <w:pPr/>
      <w:r>
        <w:rPr>
          <w:b/>
          <w:bCs/>
        </w:rPr>
        <w:t xml:space="preserve">Description</w:t>
      </w:r>
    </w:p>
    <w:p>
      <w:pPr/>
      <w:r>
        <w:rPr/>
        <w:t xml:space="preserve">Préciser les types d'appareils raccordables, la mise en oeuvre des éléments constitutifs du système et la distance de sécurité à respecter.</w:t>
      </w:r>
    </w:p>
    <w:p>
      <w:pPr>
        <w:ind w:left="720" w:right="0"/>
      </w:pPr>
      <w:r>
        <w:rPr>
          <w:rStyle w:val="font_h2"/>
        </w:rPr>
        <w:t xml:space="preserve">7.5. Mise en oeuvre de la version du système utilisée en réutilisation de conduit de fumée existant</w:t>
      </w:r>
    </w:p>
    <w:p>
      <w:pPr/>
      <w:r>
        <w:rPr/>
        <w:t xml:space="preserve">Validé par le Groupe Spécialisé le 04/02/2021</w:t>
      </w:r>
    </w:p>
    <w:p>
      <w:pPr/>
      <w:r>
        <w:rPr>
          <w:b/>
          <w:bCs/>
        </w:rPr>
        <w:t xml:space="preserve">Description</w:t>
      </w:r>
    </w:p>
    <w:p>
      <w:pPr/>
      <w:r>
        <w:rPr/>
        <w:t xml:space="preserve">Préciser les types d'appareils raccordables, le contenu de la vérification de l'état du conduit existant, la mise en oeuvre des éléments constitutifs du système, la distance de sécurité à respecter, le raccordement entre l'appareil et le conduit existant.</w:t>
      </w:r>
    </w:p>
    <w:p>
      <w:pPr/>
      <w:r>
        <w:rPr/>
        <w:t xml:space="preserve">Préciser que dans le cas du remplacement d'un appareil de type B1 comportant un coupe-tirage servant de ventilation haute, et situé dans le volume habitable, par un appareil de type C, il convient de restituer une ventilation haute du local indépendante du conduit existant</w:t>
      </w:r>
    </w:p>
    <w:p>
      <w:pPr>
        <w:ind w:left="720" w:right="0"/>
      </w:pPr>
      <w:r>
        <w:rPr>
          <w:rStyle w:val="font_h2"/>
        </w:rPr>
        <w:t xml:space="preserve">7.6. Mise en oeuvre de la version du système utilisée en montage dans un conduit de fumée existant</w:t>
      </w:r>
    </w:p>
    <w:p>
      <w:pPr/>
      <w:r>
        <w:rPr/>
        <w:t xml:space="preserve">Validé par le Groupe Spécialisé le 04/02/2021</w:t>
      </w:r>
    </w:p>
    <w:p>
      <w:pPr/>
      <w:r>
        <w:rPr>
          <w:b/>
          <w:bCs/>
        </w:rPr>
        <w:t xml:space="preserve">Description</w:t>
      </w:r>
    </w:p>
    <w:p>
      <w:pPr/>
      <w:r>
        <w:rPr/>
        <w:t xml:space="preserve">Préciser les types d'appareils raccordables, le contenu de la vérification de l'état du conduit existant, la mise en oeuvre des éléments constitutifs du système et la distance de sécurité à respecter.</w:t>
      </w:r>
    </w:p>
    <w:p>
      <w:pPr/>
      <w:r>
        <w:rPr>
          <w:rStyle w:val="font_h1"/>
        </w:rPr>
        <w:t xml:space="preserve">8. Mise en service</w:t>
      </w:r>
    </w:p>
    <w:p>
      <w:pPr/>
      <w:r>
        <w:rPr/>
        <w:t xml:space="preserve">Validé par le Groupe Spécialisé le 04/02/2021</w:t>
      </w:r>
    </w:p>
    <w:p>
      <w:pPr/>
      <w:r>
        <w:rPr>
          <w:b/>
          <w:bCs/>
        </w:rPr>
        <w:t xml:space="preserve">Description</w:t>
      </w:r>
    </w:p>
    <w:p>
      <w:pPr/>
      <w:r>
        <w:rPr/>
        <w:t xml:space="preserve">Préciser qu'avant le raccordement de l’appareil, l’installateur doit vérifier le bon montage du système.</w:t>
      </w:r>
    </w:p>
    <w:p>
      <w:pPr/>
      <w:r>
        <w:rPr/>
        <w:t xml:space="preserve">Pour les configurations dissociée et séparée, cette vérification doit être complétée par un test fumigène.</w:t>
      </w:r>
    </w:p>
    <w:p>
      <w:pPr/>
      <w:r>
        <w:rPr>
          <w:rStyle w:val="font_h1"/>
        </w:rPr>
        <w:t xml:space="preserve">9. Entretien</w:t>
      </w:r>
    </w:p>
    <w:p>
      <w:pPr/>
      <w:r>
        <w:rPr/>
        <w:t xml:space="preserve">Validé par le Groupe Spécialisé le 06/02/2025</w:t>
      </w:r>
    </w:p>
    <w:p>
      <w:pPr/>
      <w:r>
        <w:rPr>
          <w:b/>
          <w:bCs/>
        </w:rPr>
        <w:t xml:space="preserve">Description</w:t>
      </w:r>
    </w:p>
    <w:p>
      <w:pPr/>
      <w:r>
        <w:rPr/>
        <w:t xml:space="preserve">Préciser que l’entretien du système doit se faire selon la réglementation en vigueur.Pour les appareils à gaz, l’entretien du système doit être réalisé tous les ans. Il consiste, a minima, en une vérification de l’état général dusystème complet, un contrôle de la vacuité et une vérification du système d’évacuation des condensats.</w:t>
      </w:r>
    </w:p>
    <w:p>
      <w:pPr/>
      <w:r>
        <w:rPr/>
        <w:t xml:space="preserve">Préciser comment l’accès à l'intérieur du conduit est réalisé.</w:t>
      </w:r>
    </w:p>
    <w:p>
      <w:pPr/>
      <w:r>
        <w:rPr>
          <w:rStyle w:val="font_h1"/>
        </w:rPr>
        <w:t xml:space="preserve">10. Assistance technique et distribution commerciale</w:t>
      </w:r>
    </w:p>
    <w:p>
      <w:pPr/>
      <w:r>
        <w:rPr/>
        <w:t xml:space="preserve">Validé par le Groupe Spécialisé le 04/02/2021</w:t>
      </w:r>
    </w:p>
    <w:p>
      <w:pPr/>
      <w:r>
        <w:rPr>
          <w:b/>
          <w:bCs/>
        </w:rPr>
        <w:t xml:space="preserve">Description</w:t>
      </w:r>
    </w:p>
    <w:p>
      <w:pPr/>
      <w:r>
        <w:rPr/>
        <w:t xml:space="preserve">Préciser comment est assurée l'assistance technique et la distribution commerciale du système.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653A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9FA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20A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61F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FF09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09B5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46D2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BDA9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B157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118C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0874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2026-05-30T16:18:36+02:00</dcterms:created>
  <dcterms:modified xsi:type="dcterms:W3CDTF">2026-05-30T16:18:36+02:00</dcterms:modified>
</cp:coreProperties>
</file>

<file path=docProps/custom.xml><?xml version="1.0" encoding="utf-8"?>
<Properties xmlns="http://schemas.openxmlformats.org/officeDocument/2006/custom-properties" xmlns:vt="http://schemas.openxmlformats.org/officeDocument/2006/docPropsVTypes"/>
</file>