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16/12/2025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Conduit d'évacuation des produits de combustion et d’amenée d’air comburant pour appareil à gaz et chaudière fioul, destiné à la réutilisation de conduits de fumée existants</w:t>
      </w:r>
    </w:p>
    <w:p>
      <w:pPr/>
      <w:r>
        <w:rPr>
          <w:rStyle w:val="font_h1"/>
        </w:rPr>
        <w:t xml:space="preserve">1. Principe</w:t>
      </w:r>
    </w:p>
    <w:p>
      <w:pPr/>
      <w:r>
        <w:rPr>
          <w:rStyle w:val="font_h1"/>
        </w:rPr>
        <w:t xml:space="preserve">2. Domaine d'emploi</w:t>
      </w:r>
    </w:p>
    <w:p>
      <w:pPr>
        <w:ind w:left="720" w:right="0"/>
      </w:pPr>
      <w:r>
        <w:rPr>
          <w:rStyle w:val="font_h2"/>
        </w:rPr>
        <w:t xml:space="preserve">2.1. Réutilisation de conduits de fumée individuels</w:t>
      </w:r>
    </w:p>
    <w:p>
      <w:pPr/>
      <w:r>
        <w:rPr/>
        <w:t xml:space="preserve">Validé par le Groupe Spécialisé le 06/02/2025</w:t>
      </w:r>
    </w:p>
    <w:p>
      <w:pPr/>
      <w:r>
        <w:rPr>
          <w:b/>
          <w:bCs/>
        </w:rPr>
        <w:t xml:space="preserve">Description</w:t>
      </w:r>
    </w:p>
    <w:p>
      <w:pPr/>
      <w:r>
        <w:rPr/>
        <w:t xml:space="preserve">Décrire les caractéristiques des appareils à gaz : type selon la NF EN 1749:2020, température des produits de combustion, pression positive à la buse, puissance maximale inférieure ou égale à 70 kW, conformité au règlement Eco-conception UE 813/2013 ou au règlement Eco-conception UE 814/2013.</w:t>
      </w:r>
    </w:p>
    <w:p>
      <w:pPr/>
      <w:r>
        <w:rPr/>
        <w:t xml:space="preserve">Les types d'appareils à gaz prévus au domaine d'emploi seront indiqués parmi les types suivants : types C6 (C3, C5, C9)</w:t>
      </w:r>
    </w:p>
    <w:p>
      <w:pPr/>
      <w:r>
        <w:rPr/>
        <w:t xml:space="preserve">Préciser que :</w:t>
      </w:r>
    </w:p>
    <w:p>
      <w:pPr>
        <w:pPr/>
        <w:numPr>
          <w:ilvl w:val="0"/>
          <w:numId w:val="9"/>
        </w:numPr>
      </w:pPr>
      <w:r>
        <w:rPr/>
        <w:t xml:space="preserve">les appareils à gaz doivent être titulaires d'un marquage CE avec la France comme pays de destination,</w:t>
      </w:r>
    </w:p>
    <w:p>
      <w:pPr>
        <w:pPr/>
        <w:numPr>
          <w:ilvl w:val="0"/>
          <w:numId w:val="9"/>
        </w:numPr>
      </w:pPr>
      <w:r>
        <w:rPr/>
        <w:t xml:space="preserve">l’adaptateur éventuel entre les buses de l’appareil et les conduits d’amenée d’air comburant et d’évacuation des produits de combustion est défini par le fabricant de l’appareil.</w:t>
      </w:r>
    </w:p>
    <w:p>
      <w:pPr/>
      <w:r>
        <w:rPr/>
        <w:t xml:space="preserve">Indiquer les types de bâtiments et de locaux visés par le domaine d'emploi :</w:t>
      </w:r>
    </w:p>
    <w:p>
      <w:pPr>
        <w:pPr/>
        <w:numPr>
          <w:ilvl w:val="0"/>
          <w:numId w:val="10"/>
        </w:numPr>
      </w:pPr>
      <w:r>
        <w:rPr/>
        <w:t xml:space="preserve">dans l’habitat individuel et l’habitat collectif,</w:t>
      </w:r>
    </w:p>
    <w:p>
      <w:pPr>
        <w:pPr/>
        <w:numPr>
          <w:ilvl w:val="0"/>
          <w:numId w:val="10"/>
        </w:numPr>
      </w:pPr>
      <w:r>
        <w:rPr/>
        <w:t xml:space="preserve">dans les ERP,</w:t>
      </w:r>
    </w:p>
    <w:p>
      <w:pPr>
        <w:pPr/>
        <w:numPr>
          <w:ilvl w:val="0"/>
          <w:numId w:val="10"/>
        </w:numPr>
      </w:pPr>
      <w:r>
        <w:rPr/>
        <w:t xml:space="preserve">dans les bâtiments relevant du Code de Travail.</w:t>
      </w:r>
    </w:p>
    <w:p>
      <w:pPr/>
      <w:r>
        <w:rPr>
          <w:b/>
          <w:bCs/>
        </w:rPr>
        <w:t xml:space="preserve">Critères d'évaluation</w:t>
      </w:r>
    </w:p>
    <w:p>
      <w:pPr/>
      <w:r>
        <w:rPr/>
        <w:t xml:space="preserve">Les caractéristiques des appareils doivent être compatibles avec la désignation des conduits et avec la désignation de l'ouvrage.</w:t>
      </w:r>
    </w:p>
    <w:p>
      <w:pPr/>
      <w:r>
        <w:rPr/>
        <w:t xml:space="preserve">La réglementation applicable aux différents types de bâtiments et de locaux doit être compatible avec l'installation du système.</w:t>
      </w:r>
    </w:p>
    <w:p>
      <w:pPr>
        <w:ind w:left="720" w:right="0"/>
      </w:pPr>
      <w:r>
        <w:rPr>
          <w:rStyle w:val="font_h2"/>
        </w:rPr>
        <w:t xml:space="preserve">2.2. Réutilisation de conduits de fumée collectifs</w:t>
      </w:r>
    </w:p>
    <w:p>
      <w:pPr/>
      <w:r>
        <w:rPr/>
        <w:t xml:space="preserve">Validé par le Groupe Spécialisé le 12/06/2024</w:t>
      </w:r>
    </w:p>
    <w:p>
      <w:pPr/>
      <w:r>
        <w:rPr>
          <w:b/>
          <w:bCs/>
        </w:rPr>
        <w:t xml:space="preserve">Description</w:t>
      </w:r>
    </w:p>
    <w:p>
      <w:pPr/>
      <w:r>
        <w:rPr/>
        <w:t xml:space="preserve">Décrire les caractéristiques des appareils à gaz compatibles avec le système : type selon la NF EN 1749:2020 , température des produits de combustion, pression positive à la buse, puissance maximale inférieure ou égale à 70 kW, conformité au règlement Eco-conception UE 813/2013 ou au règlement Eco-conception UE 814/2013.</w:t>
      </w:r>
    </w:p>
    <w:p>
      <w:pPr/>
      <w:r>
        <w:rPr/>
        <w:t xml:space="preserve">Les types d'appareils à gaz prévus au domaine d'emploi seront indiqués parmi les types suivants :</w:t>
      </w:r>
    </w:p>
    <w:p>
      <w:pPr>
        <w:pPr/>
        <w:numPr>
          <w:ilvl w:val="0"/>
          <w:numId w:val="11"/>
        </w:numPr>
      </w:pPr>
      <w:r>
        <w:rPr/>
        <w:t xml:space="preserve">types C15 lorsque le conduit existant sert à l'amenée d'air comburant</w:t>
      </w:r>
    </w:p>
    <w:p>
      <w:pPr/>
      <w:r>
        <w:rPr/>
        <w:t xml:space="preserve">Note : pour la desserte de l’appareil à gaz du dernier niveau dans le cas d’un conduit shunt, la réutilisation du ramon individuel pour le raccordement de l’appareil à gaz est une configuration de type C9.</w:t>
      </w:r>
    </w:p>
    <w:p>
      <w:pPr/>
      <w:r>
        <w:rPr/>
        <w:t xml:space="preserve">Note : dans l’attente d’un référentiel spécifique de certification les chaudières de type C(15) sont assimilables à des chaudières de type C9 collectif.</w:t>
      </w:r>
    </w:p>
    <w:p>
      <w:pPr>
        <w:pPr/>
        <w:numPr>
          <w:ilvl w:val="0"/>
          <w:numId w:val="12"/>
        </w:numPr>
      </w:pPr>
      <w:r>
        <w:rPr/>
        <w:t xml:space="preserve">type Bpression ou C5 : dans ce cas, le conduit existant devient une gaine.</w:t>
      </w:r>
    </w:p>
    <w:p>
      <w:pPr/>
      <w:r>
        <w:rPr/>
        <w:t xml:space="preserve">Préciser que :</w:t>
      </w:r>
    </w:p>
    <w:p>
      <w:pPr>
        <w:pPr/>
        <w:numPr>
          <w:ilvl w:val="0"/>
          <w:numId w:val="13"/>
        </w:numPr>
      </w:pPr>
      <w:r>
        <w:rPr/>
        <w:t xml:space="preserve">les appareils à gaz doivent être titulaires d'un marquage CE avec la France comme pays de destination,</w:t>
      </w:r>
    </w:p>
    <w:p>
      <w:pPr>
        <w:pPr/>
        <w:numPr>
          <w:ilvl w:val="0"/>
          <w:numId w:val="13"/>
        </w:numPr>
      </w:pPr>
      <w:r>
        <w:rPr/>
        <w:t xml:space="preserve">pour les appareils de type C, la notice doit spécifier la possibilité de raccordement avec le système et doit préciser pour les différentes configurations : les diamètres, les longueurs, les types et nombres de coudes (ou longueur équivalente) du conduit d’amenée d’air comburant et du conduit d'évacuation des produits de combustion.</w:t>
      </w:r>
    </w:p>
    <w:p>
      <w:pPr>
        <w:pPr/>
        <w:numPr>
          <w:ilvl w:val="0"/>
          <w:numId w:val="13"/>
        </w:numPr>
      </w:pPr>
      <w:r>
        <w:rPr/>
        <w:t xml:space="preserve">l’adaptateur éventuel entre les buses de l’appareil et les conduits d’amenée d’air comburant et d’évacuation des produits de combustion est défini par le fabricant de l’appareil.</w:t>
      </w:r>
    </w:p>
    <w:p>
      <w:pPr/>
      <w:r>
        <w:rPr/>
        <w:t xml:space="preserve">Indiquer les types de bâtiments et de locaux visés par le domaine d'emploi dans l’habitat collectif.</w:t>
      </w:r>
    </w:p>
    <w:p>
      <w:pPr/>
      <w:r>
        <w:rPr>
          <w:b/>
          <w:bCs/>
        </w:rPr>
        <w:t xml:space="preserve">Justification</w:t>
      </w:r>
    </w:p>
    <w:p>
      <w:pPr/>
      <w:r>
        <w:rPr/>
        <w:t xml:space="preserve">Lorsque le domaine d’emploi prévoit la réutilisation de conduits shunt dédoublés (bâtiments de hauteur supérieure à R+6) une référence chantier spécifique devra être fournie pour justifier de la bonne mise en œuvre et du dimensionnement du procédé pour cette application.</w:t>
      </w:r>
    </w:p>
    <w:p>
      <w:pPr/>
      <w:r>
        <w:rPr>
          <w:b/>
          <w:bCs/>
        </w:rPr>
        <w:t xml:space="preserve">Critères d'évaluation</w:t>
      </w:r>
    </w:p>
    <w:p>
      <w:pPr/>
      <w:r>
        <w:rPr/>
        <w:t xml:space="preserve">Les caractéristiques des appareils doivent être compatibles avec la désignation des conduits et avec la désignation de l'ouvrage.</w:t>
      </w:r>
    </w:p>
    <w:p>
      <w:pPr/>
      <w:r>
        <w:rPr/>
        <w:t xml:space="preserve">La réglementation applicable aux différents types de bâtiments et de locaux doit être compatible avec l'installation du système.</w:t>
      </w:r>
    </w:p>
    <w:p>
      <w:pPr/>
      <w:r>
        <w:rPr/>
        <w:t xml:space="preserve">Pour le raccordement des appareils de type Bpression ou C5 : le conduit existant devient une gaine et l’espace annulaire doit être mis à l’air libre en partie haute pour éviter qu’en cas de fuite des produits de combustion, ceux-ci ne soient réintroduits dans les logements</w:t>
      </w:r>
    </w:p>
    <w:p>
      <w:pPr/>
      <w:r>
        <w:rPr>
          <w:rStyle w:val="font_h1"/>
        </w:rPr>
        <w:t xml:space="preserve">3. Eléments constitutifs</w:t>
      </w:r>
    </w:p>
    <w:p>
      <w:pPr/>
      <w:r>
        <w:rPr>
          <w:rStyle w:val="font_h1"/>
        </w:rPr>
        <w:t xml:space="preserve">4. Description des éléments</w:t>
      </w:r>
    </w:p>
    <w:p>
      <w:pPr>
        <w:ind w:left="720" w:right="0"/>
      </w:pPr>
      <w:r>
        <w:rPr>
          <w:rStyle w:val="font_h2"/>
        </w:rPr>
        <w:t xml:space="preserve">4.1. composants du système</w:t>
      </w:r>
    </w:p>
    <w:p>
      <w:pPr/>
      <w:r>
        <w:rPr/>
        <w:t xml:space="preserve">Validé par le Groupe Spécialisé le 06/02/2025</w:t>
      </w:r>
    </w:p>
    <w:p>
      <w:pPr/>
      <w:r>
        <w:rPr>
          <w:b/>
          <w:bCs/>
        </w:rPr>
        <w:t xml:space="preserve">Description</w:t>
      </w:r>
    </w:p>
    <w:p>
      <w:pPr/>
      <w:r>
        <w:rPr/>
        <w:t xml:space="preserve">Décrire de façon détaillée chaque composant du système en intégrant notamment la nature du composant (nuance d'inox ou d'aluminium, type de plastique), les caractéristiques dimensionnelles, la nature des joints, la désignation CE des composants et la norme de référence (EN 1856-1, EN 1856-2, EN 14471, EN 14989-1, EN 14989-2) :</w:t>
      </w:r>
    </w:p>
    <w:p>
      <w:pPr>
        <w:pPr/>
        <w:numPr>
          <w:ilvl w:val="0"/>
          <w:numId w:val="14"/>
        </w:numPr>
      </w:pPr>
      <w:r>
        <w:rPr/>
        <w:t xml:space="preserve">Conduits d'évacuation des produits de combustion et d'amenée d'air comburant (éléments droits, conduits coulissants, Tés, coudes, raccords flexible/rigide, raccords flexible/flexible ...)</w:t>
      </w:r>
    </w:p>
    <w:p>
      <w:pPr>
        <w:pPr/>
        <w:numPr>
          <w:ilvl w:val="0"/>
          <w:numId w:val="14"/>
        </w:numPr>
      </w:pPr>
      <w:r>
        <w:rPr/>
        <w:t xml:space="preserve">Terminaux (préciser le taux de recirculation moyen pour les terminaux concentriques)</w:t>
      </w:r>
    </w:p>
    <w:p>
      <w:pPr>
        <w:pPr/>
        <w:numPr>
          <w:ilvl w:val="0"/>
          <w:numId w:val="14"/>
        </w:numPr>
      </w:pPr>
      <w:r>
        <w:rPr/>
        <w:t xml:space="preserve">Joints (préciser la désignation des joints selon EN 14241-1)</w:t>
      </w:r>
    </w:p>
    <w:p>
      <w:pPr>
        <w:pPr/>
        <w:numPr>
          <w:ilvl w:val="0"/>
          <w:numId w:val="14"/>
        </w:numPr>
      </w:pPr>
      <w:r>
        <w:rPr/>
        <w:t xml:space="preserve">Siphon</w:t>
      </w:r>
    </w:p>
    <w:p>
      <w:pPr>
        <w:pPr/>
        <w:numPr>
          <w:ilvl w:val="0"/>
          <w:numId w:val="14"/>
        </w:numPr>
      </w:pPr>
      <w:r>
        <w:rPr/>
        <w:t xml:space="preserve">Accessoires</w:t>
      </w:r>
    </w:p>
    <w:p>
      <w:pPr/>
      <w:r>
        <w:rPr>
          <w:b/>
          <w:bCs/>
        </w:rPr>
        <w:t xml:space="preserve">Justification</w:t>
      </w:r>
    </w:p>
    <w:p>
      <w:pPr/>
      <w:r>
        <w:rPr/>
        <w:t xml:space="preserve">Justifications liées au marquage CE :</w:t>
      </w:r>
    </w:p>
    <w:p>
      <w:pPr>
        <w:pPr/>
        <w:numPr>
          <w:ilvl w:val="0"/>
          <w:numId w:val="15"/>
        </w:numPr>
      </w:pPr>
      <w:r>
        <w:rPr/>
        <w:t xml:space="preserve">Rapports d'essai du marquage CE</w:t>
      </w:r>
    </w:p>
    <w:p>
      <w:pPr>
        <w:pPr/>
        <w:numPr>
          <w:ilvl w:val="0"/>
          <w:numId w:val="15"/>
        </w:numPr>
      </w:pPr>
      <w:r>
        <w:rPr/>
        <w:t xml:space="preserve">Certificat de CPU du marquage CE</w:t>
      </w:r>
    </w:p>
    <w:p>
      <w:pPr>
        <w:pPr/>
        <w:numPr>
          <w:ilvl w:val="0"/>
          <w:numId w:val="15"/>
        </w:numPr>
      </w:pPr>
      <w:r>
        <w:rPr/>
        <w:t xml:space="preserve">Déclaration de Performance (DoP) pour l'ensemble des produits</w:t>
      </w:r>
    </w:p>
    <w:p>
      <w:pPr/>
      <w:r>
        <w:rPr/>
        <w:t xml:space="preserve">Autres essais :</w:t>
      </w:r>
    </w:p>
    <w:p>
      <w:pPr>
        <w:pPr/>
        <w:numPr>
          <w:ilvl w:val="0"/>
          <w:numId w:val="16"/>
        </w:numPr>
      </w:pPr>
      <w:r>
        <w:rPr/>
        <w:t xml:space="preserve">Essai de traction du raccord flexible / flexible si ce composant existe</w:t>
      </w:r>
    </w:p>
    <w:p>
      <w:pPr>
        <w:pPr/>
        <w:numPr>
          <w:ilvl w:val="0"/>
          <w:numId w:val="16"/>
        </w:numPr>
      </w:pPr>
      <w:r>
        <w:rPr/>
        <w:t xml:space="preserve">Essai de recirculation des terminaux (y compris pour les terminaux non marqués CE selon l'EN 14989-1).  A partir d'une gamme comportant 4 diamètres, 2 diamètres au minimum doivent être testés.</w:t>
      </w:r>
    </w:p>
    <w:p>
      <w:pPr>
        <w:pPr/>
        <w:numPr>
          <w:ilvl w:val="0"/>
          <w:numId w:val="16"/>
        </w:numPr>
      </w:pPr>
      <w:r>
        <w:rPr/>
        <w:t xml:space="preserve">Fourniture de référence pour l'application considérée</w:t>
      </w:r>
    </w:p>
    <w:p>
      <w:pPr/>
      <w:r>
        <w:rPr>
          <w:b/>
          <w:bCs/>
        </w:rPr>
        <w:t xml:space="preserve">Illustration</w:t>
      </w:r>
    </w:p>
    <w:p>
      <w:pPr/>
      <w:r>
        <w:rPr/>
        <w:t xml:space="preserve">Fournir des illustrations des différents composants principaux</w:t>
      </w:r>
    </w:p>
    <w:p>
      <w:pPr/>
      <w:r>
        <w:rPr>
          <w:b/>
          <w:bCs/>
        </w:rPr>
        <w:t xml:space="preserve">Critères d'évaluation</w:t>
      </w:r>
    </w:p>
    <w:p>
      <w:pPr/>
      <w:r>
        <w:rPr/>
        <w:t xml:space="preserve">La nature des composants doit répondre à l'usage prévu :</w:t>
      </w:r>
    </w:p>
    <w:p>
      <w:pPr>
        <w:pPr/>
        <w:numPr>
          <w:ilvl w:val="0"/>
          <w:numId w:val="17"/>
        </w:numPr>
      </w:pPr>
      <w:r>
        <w:rPr/>
        <w:t xml:space="preserve">pour les conduits : résistance à la température, étanchéité au gaz du conduit de fumée et du conduit d'amenée d'air comburant, résistance aux condensats, résistance à la corrosion, distance aux matériaux combustibles</w:t>
      </w:r>
    </w:p>
    <w:p>
      <w:pPr>
        <w:pPr/>
        <w:numPr>
          <w:ilvl w:val="0"/>
          <w:numId w:val="17"/>
        </w:numPr>
      </w:pPr>
      <w:r>
        <w:rPr/>
        <w:t xml:space="preserve">pour les terminaux : taux de recirculation moyen, caractéristique anti-volatile. Seuls les terminaux concentriques respectant le taux de recirculation de l'EN 14989-1 peuvent être associés à des appareils à gaz de type C6</w:t>
      </w:r>
    </w:p>
    <w:p>
      <w:pPr/>
      <w:r>
        <w:rPr/>
        <w:t xml:space="preserve">Lorsqu'un même conduit individuel d’évacuation des produits de combustion contient des éléments de nature différente (par exemple avec des conduits PP et PVDF) vérifier que :</w:t>
      </w:r>
    </w:p>
    <w:p>
      <w:pPr>
        <w:pPr/>
        <w:numPr>
          <w:ilvl w:val="0"/>
          <w:numId w:val="18"/>
        </w:numPr>
      </w:pPr>
      <w:r>
        <w:rPr/>
        <w:t xml:space="preserve">les conduits sont de même nature sur la partie « conduit vertical au-dessus du coude ou du té » et sur la partie « conduit horizontal entre la buse de l’appareil et le pied conduit vertical »</w:t>
      </w:r>
    </w:p>
    <w:p>
      <w:pPr>
        <w:pPr/>
        <w:numPr>
          <w:ilvl w:val="0"/>
          <w:numId w:val="18"/>
        </w:numPr>
      </w:pPr>
      <w:r>
        <w:rPr/>
        <w:t xml:space="preserve">la désignation de l’ouvrage corresponde à la désignation du produit la plus contraignante (correspondant aux classes les plus faibles)</w:t>
      </w:r>
    </w:p>
    <w:p>
      <w:pPr/>
      <w:r>
        <w:rPr/>
        <w:t xml:space="preserve">Dans ce cas :</w:t>
      </w:r>
    </w:p>
    <w:p>
      <w:pPr>
        <w:pPr/>
        <w:numPr>
          <w:ilvl w:val="0"/>
          <w:numId w:val="19"/>
        </w:numPr>
      </w:pPr>
      <w:r>
        <w:rPr/>
        <w:t xml:space="preserve">le(s) titulaire(s) devra(ont) être responsable(s) de l’ensemble des composants : donc établir une DoP sur ces produits et fournir les éléments de justifications associés (certificat de CPU et essais de marquage CE)</w:t>
      </w:r>
    </w:p>
    <w:p>
      <w:pPr>
        <w:pPr/>
        <w:numPr>
          <w:ilvl w:val="0"/>
          <w:numId w:val="19"/>
        </w:numPr>
      </w:pPr>
      <w:r>
        <w:rPr/>
        <w:t xml:space="preserve">le(s) titulaire(s) devra(ont) justifier de la compatibilité entre les 2 types de composants utilisés par un essai d’étanchéité d’une éventuelle pièce d’adaptation.</w:t>
      </w:r>
    </w:p>
    <w:p>
      <w:pPr>
        <w:ind w:left="720" w:right="0"/>
      </w:pPr>
      <w:r>
        <w:rPr>
          <w:rStyle w:val="font_h2"/>
        </w:rPr>
        <w:t xml:space="preserve">4.2. Identification des éléments</w:t>
      </w:r>
    </w:p>
    <w:p>
      <w:pPr>
        <w:ind w:left="720" w:right="0"/>
      </w:pPr>
      <w:r>
        <w:rPr>
          <w:rStyle w:val="font_h2"/>
        </w:rPr>
        <w:t xml:space="preserve">4.3. Identification des ouvrages</w:t>
      </w:r>
    </w:p>
    <w:p>
      <w:pPr/>
      <w:r>
        <w:rPr>
          <w:rStyle w:val="font_h1"/>
        </w:rPr>
        <w:t xml:space="preserve">5. Fabrication et contrôles</w:t>
      </w:r>
    </w:p>
    <w:p>
      <w:pPr>
        <w:ind w:left="720" w:right="0"/>
      </w:pPr>
      <w:r>
        <w:rPr>
          <w:rStyle w:val="font_h2"/>
        </w:rPr>
        <w:t xml:space="preserve">5.1. Matières premières</w:t>
      </w:r>
    </w:p>
    <w:p>
      <w:pPr>
        <w:ind w:left="720" w:right="0"/>
      </w:pPr>
      <w:r>
        <w:rPr>
          <w:rStyle w:val="font_h2"/>
        </w:rPr>
        <w:t xml:space="preserve">5.2. Fabrication</w:t>
      </w:r>
    </w:p>
    <w:p>
      <w:pPr>
        <w:ind w:left="720" w:right="0"/>
      </w:pPr>
      <w:r>
        <w:rPr>
          <w:rStyle w:val="font_h2"/>
        </w:rPr>
        <w:t xml:space="preserve">5.3. Produits finis</w:t>
      </w:r>
    </w:p>
    <w:p>
      <w:pPr>
        <w:ind w:left="720" w:right="0"/>
      </w:pPr>
      <w:r>
        <w:rPr>
          <w:rStyle w:val="font_h2"/>
        </w:rPr>
        <w:t xml:space="preserve">5.4. Déclarations de Performances (DoP)</w:t>
      </w:r>
    </w:p>
    <w:p>
      <w:pPr/>
      <w:r>
        <w:rPr>
          <w:rStyle w:val="font_h1"/>
        </w:rPr>
        <w:t xml:space="preserve">6. Dimensionnement et conception</w:t>
      </w:r>
    </w:p>
    <w:p>
      <w:pPr>
        <w:ind w:left="720" w:right="0"/>
      </w:pPr>
      <w:r>
        <w:rPr>
          <w:rStyle w:val="font_h2"/>
        </w:rPr>
        <w:t xml:space="preserve">6.1. Généralités</w:t>
      </w:r>
    </w:p>
    <w:p>
      <w:pPr>
        <w:ind w:left="720" w:right="0"/>
      </w:pPr>
      <w:r>
        <w:rPr>
          <w:rStyle w:val="font_h2"/>
        </w:rPr>
        <w:t xml:space="preserve">6.2. Règles de conception générales dans les bâtiments d'habitation individuels</w:t>
      </w:r>
    </w:p>
    <w:p>
      <w:pPr>
        <w:ind w:left="720" w:right="0"/>
      </w:pPr>
      <w:r>
        <w:rPr>
          <w:rStyle w:val="font_h2"/>
        </w:rPr>
        <w:t xml:space="preserve">6.3. Règles de conception particulières dans les bâtiments d'habitation collectifs</w:t>
      </w:r>
    </w:p>
    <w:p>
      <w:pPr/>
      <w:r>
        <w:rPr/>
        <w:t xml:space="preserve">Validé par le Groupe Spécialisé le 04/02/2021</w:t>
      </w:r>
    </w:p>
    <w:p>
      <w:pPr/>
      <w:r>
        <w:rPr>
          <w:b/>
          <w:bCs/>
        </w:rPr>
        <w:t xml:space="preserve">Description</w:t>
      </w:r>
    </w:p>
    <w:p>
      <w:pPr/>
      <w:r>
        <w:rPr/>
        <w:t xml:space="preserve">Décrire les modalités de conception de l'installation.</w:t>
      </w:r>
    </w:p>
    <w:p>
      <w:pPr/>
      <w:r>
        <w:rPr/>
        <w:t xml:space="preserve">En particulier : lorsque les chaudières existantes assurent la ventilation haute des logements par l’intermédiaire de leur coupe tirage, la ventilation haute doit être restituée par un système indépendant du système objet de l’Avis Technique. Elle doit permettre de maintenir le principe de ventilation d’origine et le cas échéant les débits de ventilation existants, en respectant la règlementation applicable pour ces bâtiments.</w:t>
      </w:r>
    </w:p>
    <w:p>
      <w:pPr>
        <w:ind w:left="720" w:right="0"/>
      </w:pPr>
      <w:r>
        <w:rPr>
          <w:rStyle w:val="font_h2"/>
        </w:rPr>
        <w:t xml:space="preserve">6.4. Règles de conception particulières dans les bâtiments relevant du Code du Travail</w:t>
      </w:r>
    </w:p>
    <w:p>
      <w:pPr>
        <w:ind w:left="720" w:right="0"/>
      </w:pPr>
      <w:r>
        <w:rPr>
          <w:rStyle w:val="font_h2"/>
        </w:rPr>
        <w:t xml:space="preserve">6.5. Règles de conception particulières dans les Etablissements Recevant du Public</w:t>
      </w:r>
    </w:p>
    <w:p>
      <w:pPr/>
      <w:r>
        <w:rPr>
          <w:rStyle w:val="font_h1"/>
        </w:rPr>
        <w:t xml:space="preserve">7. Mise en oeuvre</w:t>
      </w:r>
    </w:p>
    <w:p>
      <w:pPr>
        <w:ind w:left="720" w:right="0"/>
      </w:pPr>
      <w:r>
        <w:rPr>
          <w:rStyle w:val="font_h2"/>
        </w:rPr>
        <w:t xml:space="preserve">7.1. Généralités</w:t>
      </w:r>
    </w:p>
    <w:p>
      <w:pPr>
        <w:ind w:left="720" w:right="0"/>
      </w:pPr>
      <w:r>
        <w:rPr>
          <w:rStyle w:val="font_h2"/>
        </w:rPr>
        <w:t xml:space="preserve">7.2. Mise en oeuvre de la version du système raccordé à des poêles ou inserts à gaz utilisée en réutilisation de conduit de fumée existant</w:t>
      </w:r>
    </w:p>
    <w:p>
      <w:pPr>
        <w:ind w:left="720" w:right="0"/>
      </w:pPr>
      <w:r>
        <w:rPr>
          <w:rStyle w:val="font_h2"/>
        </w:rPr>
        <w:t xml:space="preserve">7.3. Mise en oeuvre de la version du système utilisée en réutilisation de conduit de fumée existant</w:t>
      </w:r>
    </w:p>
    <w:p>
      <w:pPr/>
      <w:r>
        <w:rPr/>
        <w:t xml:space="preserve">Validé par le Groupe Spécialisé le 12/06/2024</w:t>
      </w:r>
    </w:p>
    <w:p>
      <w:pPr/>
      <w:r>
        <w:rPr>
          <w:b/>
          <w:bCs/>
        </w:rPr>
        <w:t xml:space="preserve">Description</w:t>
      </w:r>
    </w:p>
    <w:p>
      <w:pPr/>
      <w:r>
        <w:rPr/>
        <w:t xml:space="preserve">Décrire les dispositions de mise en oeuvre du système.</w:t>
      </w:r>
    </w:p>
    <w:p>
      <w:pPr/>
      <w:r>
        <w:rPr/>
        <w:t xml:space="preserve">Pour les systèmes destinés à la réutilisation de conduits collectifs :</w:t>
      </w:r>
    </w:p>
    <w:p>
      <w:pPr>
        <w:pPr/>
        <w:numPr>
          <w:ilvl w:val="0"/>
          <w:numId w:val="20"/>
        </w:numPr>
      </w:pPr>
      <w:r>
        <w:rPr/>
        <w:t xml:space="preserve">Sauf dispositions de mise en œuvre particulières, le domaine d’emploi n’est pas compatible avec la réutilisation de conduits de fumée en amiante-ciment.</w:t>
      </w:r>
    </w:p>
    <w:p>
      <w:pPr/>
      <w:r>
        <w:rPr/>
        <w:t xml:space="preserve">Pour les systèmes qui prévoient la réutilisation de conduits de fumée en amiante-ciment, même si aucune intervention spécifique sur le conduit existant n’est nécessaire pour la mise en œuvre du système, rappeler que la réutilisation de conduit de fumée en amiante-ciment avec le système n'est possible que dans la mesure où la règlementation relative aux travaux en cas de présence d’amiante est respectée.</w:t>
      </w:r>
    </w:p>
    <w:p>
      <w:pPr>
        <w:pPr/>
        <w:numPr>
          <w:ilvl w:val="0"/>
          <w:numId w:val="21"/>
        </w:numPr>
      </w:pPr>
      <w:r>
        <w:rPr/>
        <w:t xml:space="preserve">Le rebouchage des orifices existants ou créés sur le conduit Shunt (ou Alsace) existant doivent être réalisés en ciment ou en plâtre et brique plâtrière d’une épaisseur égale à celle de la paroi du conduit existant.</w:t>
      </w:r>
    </w:p>
    <w:p>
      <w:pPr/>
      <w:r>
        <w:rPr>
          <w:rStyle w:val="font_h1"/>
        </w:rPr>
        <w:t xml:space="preserve">8. Mise en service</w:t>
      </w:r>
    </w:p>
    <w:p>
      <w:pPr/>
      <w:r>
        <w:rPr/>
        <w:t xml:space="preserve">Validé par le Groupe Spécialisé le 04/02/2021</w:t>
      </w:r>
    </w:p>
    <w:p>
      <w:pPr/>
      <w:r>
        <w:rPr>
          <w:b/>
          <w:bCs/>
        </w:rPr>
        <w:t xml:space="preserve">Description</w:t>
      </w:r>
    </w:p>
    <w:p>
      <w:pPr/>
      <w:r>
        <w:rPr/>
        <w:t xml:space="preserve">Préciser les modalités de mise en service de l'installation.</w:t>
      </w:r>
    </w:p>
    <w:p>
      <w:pPr/>
      <w:r>
        <w:rPr/>
        <w:t xml:space="preserve">Pour les systèmes destinés à la réutilisation de conduits collectifs, une vérification du bon montage du système par essai fumigène n’est pas suffisante pour garantir le bon fonctionnement de l’installation. Un protocole de réception doit être prévu à l’image de ce qui existe pour les conduits 3CEp.</w:t>
      </w:r>
    </w:p>
    <w:p>
      <w:pPr/>
      <w:r>
        <w:rPr>
          <w:rStyle w:val="font_h1"/>
        </w:rPr>
        <w:t xml:space="preserve">9. Entretien</w:t>
      </w:r>
    </w:p>
    <w:p>
      <w:pPr/>
      <w:r>
        <w:rPr>
          <w:rStyle w:val="font_h1"/>
        </w:rPr>
        <w:t xml:space="preserve">10. Assistance technique et distribution commerciale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5726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88E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374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BCF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1642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FC6E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39EA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8776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6ED0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2327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528B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87E1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2BFE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2025-12-16T07:01:52+01:00</dcterms:created>
  <dcterms:modified xsi:type="dcterms:W3CDTF">2025-12-16T07:01:52+01:00</dcterms:modified>
</cp:coreProperties>
</file>

<file path=docProps/custom.xml><?xml version="1.0" encoding="utf-8"?>
<Properties xmlns="http://schemas.openxmlformats.org/officeDocument/2006/custom-properties" xmlns:vt="http://schemas.openxmlformats.org/officeDocument/2006/docPropsVTypes"/>
</file>