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destiné à la réutilisation de conduits de fumée existants</w:t>
      </w:r>
    </w:p>
    <w:p>
      <w:pPr/>
      <w:r>
        <w:rPr>
          <w:rStyle w:val="font_h1"/>
        </w:rPr>
        <w:t xml:space="preserve">1. Principe</w:t>
      </w:r>
    </w:p>
    <w:p>
      <w:pPr/>
      <w:r>
        <w:rPr>
          <w:rStyle w:val="font_h1"/>
        </w:rPr>
        <w:t xml:space="preserve">2. Domaine d'emploi</w:t>
      </w:r>
    </w:p>
    <w:p>
      <w:pPr>
        <w:ind w:left="720" w:right="0"/>
      </w:pPr>
      <w:r>
        <w:rPr>
          <w:rStyle w:val="font_h2"/>
        </w:rPr>
        <w:t xml:space="preserve">2.1. Réutilisation de conduits de fumée individuels</w:t>
      </w:r>
    </w:p>
    <w:p>
      <w:pPr/>
      <w:r>
        <w:rPr/>
        <w:t xml:space="preserve">Validé par le Groupe Spécialisé le 06/02/2025</w:t>
      </w:r>
    </w:p>
    <w:p>
      <w:pPr/>
      <w:r>
        <w:rPr>
          <w:b/>
          <w:bCs/>
        </w:rPr>
        <w:t xml:space="preserve">Description</w:t>
      </w:r>
    </w:p>
    <w:p>
      <w:pPr/>
      <w:r>
        <w:rPr/>
        <w:t xml:space="preserve">Décrire les caractéristiques des appareils à gaz : type selon la NF EN 1749:2020, température des produits de combustion, pression positive à la buse, puissance maximale inférieure ou égale à 70 kW, conformité au règlement Eco-conception UE 813/2013 ou au règlement Eco-conception UE 814/2013.</w:t>
      </w:r>
    </w:p>
    <w:p>
      <w:pPr/>
      <w:r>
        <w:rPr/>
        <w:t xml:space="preserve">Les types d'appareils à gaz prévus au domaine d'emploi seront indiqués parmi les types suivants : types C6 (C3, C5, C9)</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ind w:left="720" w:right="0"/>
      </w:pPr>
      <w:r>
        <w:rPr>
          <w:rStyle w:val="font_h2"/>
        </w:rPr>
        <w:t xml:space="preserve">2.2. Réutilisation de conduits de fumée collectifs</w:t>
      </w:r>
    </w:p>
    <w:p>
      <w:pPr/>
      <w:r>
        <w:rPr/>
        <w:t xml:space="preserve">Validé par le Groupe Spécialisé le 12/06/2024</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Les types d'appareils à gaz prévus au domaine d'emploi seront indiqués parmi les types suivants :</w:t>
      </w:r>
    </w:p>
    <w:p>
      <w:pPr>
        <w:pPr/>
        <w:numPr>
          <w:ilvl w:val="0"/>
          <w:numId w:val="11"/>
        </w:numPr>
      </w:pPr>
      <w:r>
        <w:rPr/>
        <w:t xml:space="preserve">types C15 lorsque le conduit existant sert à l'amenée d'air comburant</w:t>
      </w:r>
    </w:p>
    <w:p>
      <w:pPr/>
      <w:r>
        <w:rPr/>
        <w:t xml:space="preserve">Note : pour la desserte de l’appareil à gaz du dernier niveau dans le cas d’un conduit shunt, la réutilisation du ramon individuel pour le raccordement de l’appareil à gaz est une configuration de type C9.</w:t>
      </w:r>
    </w:p>
    <w:p>
      <w:pPr/>
      <w:r>
        <w:rPr/>
        <w:t xml:space="preserve">Note : dans l’attente d’un référentiel spécifique de certification les chaudières de type C(15) sont assimilables à des chaudières de type C9 collectif.</w:t>
      </w:r>
    </w:p>
    <w:p>
      <w:pPr>
        <w:pPr/>
        <w:numPr>
          <w:ilvl w:val="0"/>
          <w:numId w:val="12"/>
        </w:numPr>
      </w:pPr>
      <w:r>
        <w:rPr/>
        <w:t xml:space="preserve">type Bpression ou C5 : dans ce cas, le conduit existant devient une gaine.</w:t>
      </w:r>
    </w:p>
    <w:p>
      <w:pPr/>
      <w:r>
        <w:rPr/>
        <w:t xml:space="preserve">Préciser que :</w:t>
      </w:r>
    </w:p>
    <w:p>
      <w:pPr>
        <w:pPr/>
        <w:numPr>
          <w:ilvl w:val="0"/>
          <w:numId w:val="13"/>
        </w:numPr>
      </w:pPr>
      <w:r>
        <w:rPr/>
        <w:t xml:space="preserve">les appareils à gaz doivent être titulaires d'un marquage CE avec la France comme pays de destination,</w:t>
      </w:r>
    </w:p>
    <w:p>
      <w:pPr>
        <w:pPr/>
        <w:numPr>
          <w:ilvl w:val="0"/>
          <w:numId w:val="13"/>
        </w:numPr>
      </w:pPr>
      <w:r>
        <w:rPr/>
        <w:t xml:space="preserve">pour les appareils de type C,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3"/>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dans l’habitat collectif.</w:t>
      </w:r>
    </w:p>
    <w:p>
      <w:pPr/>
      <w:r>
        <w:rPr>
          <w:b/>
          <w:bCs/>
        </w:rPr>
        <w:t xml:space="preserve">Justification</w:t>
      </w:r>
    </w:p>
    <w:p>
      <w:pPr/>
      <w:r>
        <w:rPr/>
        <w:t xml:space="preserve">Lorsque le domaine d’emploi prévoit la réutilisation de conduits shunt dédoublés (bâtiments de hauteur supérieure à R+6) une référence chantier spécifique devra être fournie pour justifier de la bonne mise en œuvre et du dimensionnement du procédé pour cette application.</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t xml:space="preserve">Pour le raccordement des appareils de type Bpression ou C5 : le conduit existant devient une gaine et l’espace annulaire doit être mis à l’air libre en partie haute pour éviter qu’en cas de fuite des produits de combustion, ceux-ci ne soient réintroduits dans les logements</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4"/>
        </w:numPr>
      </w:pPr>
      <w:r>
        <w:rPr/>
        <w:t xml:space="preserve">Conduits d'évacuation des produits de combustion et d'amenée d'air comburant (éléments droits, conduits coulissants, Tés, coudes, raccords flexible/rigide, raccords flexible/flexible ...)</w:t>
      </w:r>
    </w:p>
    <w:p>
      <w:pPr>
        <w:pPr/>
        <w:numPr>
          <w:ilvl w:val="0"/>
          <w:numId w:val="14"/>
        </w:numPr>
      </w:pPr>
      <w:r>
        <w:rPr/>
        <w:t xml:space="preserve">Terminaux (préciser le taux de recirculation moyen pour les terminaux concentriques)</w:t>
      </w:r>
    </w:p>
    <w:p>
      <w:pPr>
        <w:pPr/>
        <w:numPr>
          <w:ilvl w:val="0"/>
          <w:numId w:val="14"/>
        </w:numPr>
      </w:pPr>
      <w:r>
        <w:rPr/>
        <w:t xml:space="preserve">Joints (préciser la désignation des joints selon EN 14241-1)</w:t>
      </w:r>
    </w:p>
    <w:p>
      <w:pPr>
        <w:pPr/>
        <w:numPr>
          <w:ilvl w:val="0"/>
          <w:numId w:val="14"/>
        </w:numPr>
      </w:pPr>
      <w:r>
        <w:rPr/>
        <w:t xml:space="preserve">Siphon</w:t>
      </w:r>
    </w:p>
    <w:p>
      <w:pPr>
        <w:pPr/>
        <w:numPr>
          <w:ilvl w:val="0"/>
          <w:numId w:val="14"/>
        </w:numPr>
      </w:pPr>
      <w:r>
        <w:rPr/>
        <w:t xml:space="preserve">Accessoires</w:t>
      </w:r>
    </w:p>
    <w:p>
      <w:pPr/>
      <w:r>
        <w:rPr>
          <w:b/>
          <w:bCs/>
        </w:rPr>
        <w:t xml:space="preserve">Justification</w:t>
      </w:r>
    </w:p>
    <w:p>
      <w:pPr/>
      <w:r>
        <w:rPr/>
        <w:t xml:space="preserve">Justifications liées au marquage CE :</w:t>
      </w:r>
    </w:p>
    <w:p>
      <w:pPr>
        <w:pPr/>
        <w:numPr>
          <w:ilvl w:val="0"/>
          <w:numId w:val="15"/>
        </w:numPr>
      </w:pPr>
      <w:r>
        <w:rPr/>
        <w:t xml:space="preserve">Rapports d'essai du marquage CE</w:t>
      </w:r>
    </w:p>
    <w:p>
      <w:pPr>
        <w:pPr/>
        <w:numPr>
          <w:ilvl w:val="0"/>
          <w:numId w:val="15"/>
        </w:numPr>
      </w:pPr>
      <w:r>
        <w:rPr/>
        <w:t xml:space="preserve">Certificat de CPU du marquage CE</w:t>
      </w:r>
    </w:p>
    <w:p>
      <w:pPr>
        <w:pPr/>
        <w:numPr>
          <w:ilvl w:val="0"/>
          <w:numId w:val="15"/>
        </w:numPr>
      </w:pPr>
      <w:r>
        <w:rPr/>
        <w:t xml:space="preserve">Déclaration de Performance (DoP) pour l'ensemble des produits</w:t>
      </w:r>
    </w:p>
    <w:p>
      <w:pPr/>
      <w:r>
        <w:rPr/>
        <w:t xml:space="preserve">Autres essais :</w:t>
      </w:r>
    </w:p>
    <w:p>
      <w:pPr>
        <w:pPr/>
        <w:numPr>
          <w:ilvl w:val="0"/>
          <w:numId w:val="16"/>
        </w:numPr>
      </w:pPr>
      <w:r>
        <w:rPr/>
        <w:t xml:space="preserve">Essai de traction du raccord flexible / flexible si ce composant existe</w:t>
      </w:r>
    </w:p>
    <w:p>
      <w:pPr>
        <w:pPr/>
        <w:numPr>
          <w:ilvl w:val="0"/>
          <w:numId w:val="16"/>
        </w:numPr>
      </w:pPr>
      <w:r>
        <w:rPr/>
        <w:t xml:space="preserve">Essai de recirculation des terminaux (y compris pour les terminaux non marqués CE selon l'EN 14989-1).  A partir d'une gamme comportant 4 diamètres, 2 diamètres au minimum doivent être testés.</w:t>
      </w:r>
    </w:p>
    <w:p>
      <w:pPr>
        <w:pPr/>
        <w:numPr>
          <w:ilvl w:val="0"/>
          <w:numId w:val="16"/>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7"/>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7"/>
        </w:numPr>
      </w:pPr>
      <w:r>
        <w:rPr/>
        <w:t xml:space="preserve">pour les terminaux : taux de recirculation moyen, caractéristique anti-volatile. Seuls les terminaux concentriques respectant le taux de recirculation de l'EN 14989-1 peuvent être associés à des appareils à gaz de type C6</w:t>
      </w:r>
    </w:p>
    <w:p>
      <w:pPr/>
      <w:r>
        <w:rPr/>
        <w:t xml:space="preserve">Lorsqu'un même conduit individuel d’évacuation des produits de combustion contient des éléments de nature différente (par exemple avec des conduits PP et PVDF) vérifier que :</w:t>
      </w:r>
    </w:p>
    <w:p>
      <w:pPr>
        <w:pPr/>
        <w:numPr>
          <w:ilvl w:val="0"/>
          <w:numId w:val="18"/>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8"/>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9"/>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9"/>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 individuels</w:t>
      </w:r>
    </w:p>
    <w:p>
      <w:pPr>
        <w:ind w:left="720" w:right="0"/>
      </w:pPr>
      <w:r>
        <w:rPr>
          <w:rStyle w:val="font_h2"/>
        </w:rPr>
        <w:t xml:space="preserve">6.3. Règles de conception particulières dans les bâtiments d'habitation collectifs</w:t>
      </w:r>
    </w:p>
    <w:p>
      <w:pPr/>
      <w:r>
        <w:rPr/>
        <w:t xml:space="preserve">Validé par le Groupe Spécialisé le 04/02/2021</w:t>
      </w:r>
    </w:p>
    <w:p>
      <w:pPr/>
      <w:r>
        <w:rPr>
          <w:b/>
          <w:bCs/>
        </w:rPr>
        <w:t xml:space="preserve">Description</w:t>
      </w:r>
    </w:p>
    <w:p>
      <w:pPr/>
      <w:r>
        <w:rPr/>
        <w:t xml:space="preserve">Décrire les modalités de conception de l'installation.</w:t>
      </w:r>
    </w:p>
    <w:p>
      <w:pPr/>
      <w:r>
        <w:rPr/>
        <w:t xml:space="preserve">En particulier : lorsque les chaudières existantes assurent la ventilation haute des logements par l’intermédiaire de leur coupe tirage, la ventilation haute doit être restituée par un système indépendant du système objet de l’Avis Technique. Elle doit permettre de maintenir le principe de ventilation d’origine et le cas échéant les débits de ventilation existants, en respectant la règlementation applicable pour ces bâtiments.</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t xml:space="preserve">Validé par le Groupe Spécialisé le 12/06/2024</w:t>
      </w:r>
    </w:p>
    <w:p>
      <w:pPr/>
      <w:r>
        <w:rPr>
          <w:b/>
          <w:bCs/>
        </w:rPr>
        <w:t xml:space="preserve">Description</w:t>
      </w:r>
    </w:p>
    <w:p>
      <w:pPr/>
      <w:r>
        <w:rPr/>
        <w:t xml:space="preserve">Décrire les dispositions de mise en oeuvre du système.</w:t>
      </w:r>
    </w:p>
    <w:p>
      <w:pPr/>
      <w:r>
        <w:rPr/>
        <w:t xml:space="preserve">Pour les systèmes destinés à la réutilisation de conduits collectifs :</w:t>
      </w:r>
    </w:p>
    <w:p>
      <w:pPr>
        <w:pPr/>
        <w:numPr>
          <w:ilvl w:val="0"/>
          <w:numId w:val="20"/>
        </w:numPr>
      </w:pPr>
      <w:r>
        <w:rPr/>
        <w:t xml:space="preserve">Sauf dispositions de mise en œuvre particulières, le domaine d’emploi n’est pas compatible avec la réutilisation de conduits de fumée en amiante-ciment.</w:t>
      </w:r>
    </w:p>
    <w:p>
      <w:pPr/>
      <w:r>
        <w:rPr/>
        <w:t xml:space="preserve">Pour les systèmes qui prévoient la réutilisation de conduits de fumée en amiante-ciment, même si aucune intervention spécifique sur le conduit existant n’est nécessaire pour la mise en œuvre du système, rappeler que la réutilisation de conduit de fumée en amiante-ciment avec le système n'est possible que dans la mesure où la règlementation relative aux travaux en cas de présence d’amiante est respectée.</w:t>
      </w:r>
    </w:p>
    <w:p>
      <w:pPr>
        <w:pPr/>
        <w:numPr>
          <w:ilvl w:val="0"/>
          <w:numId w:val="21"/>
        </w:numPr>
      </w:pPr>
      <w:r>
        <w:rPr/>
        <w:t xml:space="preserve">Le rebouchage des orifices existants ou créés sur le conduit Shunt (ou Alsace) existant doivent être réalisés en ciment ou en plâtre et brique plâtrière d’une épaisseur égale à celle de la paroi du conduit existant.</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les modalités de mise en service de l'installation.</w:t>
      </w:r>
    </w:p>
    <w:p>
      <w:pPr/>
      <w:r>
        <w:rPr/>
        <w:t xml:space="preserve">Pour les systèmes destinés à la réutilisation de conduits collectifs, une vérification du bon montage du système par essai fumigène n’est pas suffisante pour garantir le bon fonctionnement de l’installation. Un protocole de réception doit être prévu à l’image de ce qui existe pour les conduits 3CEp.</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7DE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4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2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22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8A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9D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8D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AA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CA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E0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8C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A1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B7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2026-05-07T14:18:23+02:00</dcterms:created>
  <dcterms:modified xsi:type="dcterms:W3CDTF">2026-05-07T14:18:23+02:00</dcterms:modified>
</cp:coreProperties>
</file>

<file path=docProps/custom.xml><?xml version="1.0" encoding="utf-8"?>
<Properties xmlns="http://schemas.openxmlformats.org/officeDocument/2006/custom-properties" xmlns:vt="http://schemas.openxmlformats.org/officeDocument/2006/docPropsVTypes"/>
</file>