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Ouvrages d’enveloppe en coussins gonflables</w:t>
      </w:r>
    </w:p>
    <w:p>
      <w:pPr/>
      <w:r>
        <w:rPr>
          <w:rStyle w:val="font_h1"/>
        </w:rPr>
        <w:t xml:space="preserve">1. Principe et domaine d'emploi</w:t>
      </w:r>
    </w:p>
    <w:p>
      <w:pPr/>
      <w:r>
        <w:rPr>
          <w:rStyle w:val="font_h1"/>
        </w:rPr>
        <w:t xml:space="preserve">2. Description du procédé</w:t>
      </w:r>
    </w:p>
    <w:p>
      <w:pPr>
        <w:ind w:left="720" w:right="0"/>
      </w:pPr>
      <w:r>
        <w:rPr>
          <w:rStyle w:val="font_h2"/>
        </w:rPr>
        <w:t xml:space="preserve">2.1. Caractéristiques des composants</w:t>
      </w:r>
    </w:p>
    <w:p>
      <w:pPr>
        <w:ind w:left="1440" w:right="0"/>
      </w:pPr>
      <w:r>
        <w:rPr>
          <w:rStyle w:val="font_h3"/>
        </w:rPr>
        <w:t xml:space="preserve">2.1.1. Coussins ETFE</w:t>
      </w:r>
    </w:p>
    <w:p>
      <w:pPr/>
      <w:r>
        <w:rPr/>
        <w:t xml:space="preserve">Validé par le Groupe Spécialisé le 17/10/2023</w:t>
      </w:r>
    </w:p>
    <w:p>
      <w:pPr/>
      <w:r>
        <w:rPr>
          <w:b/>
          <w:bCs/>
        </w:rPr>
        <w:t xml:space="preserve">Description</w:t>
      </w:r>
    </w:p>
    <w:p>
      <w:pPr/>
      <w:r>
        <w:rPr/>
        <w:t xml:space="preserve">Couvertures en coussins gonflables surpressés.il est demandé de tenir compte, lors de la justification, des points suivants :• Définir le volume maximal de poche d'eau limité à l’ELU ou une hauteur d'eau maximale ;• Ne pas dépasser la limite d'élastique sous charge ELU ;• Réaliser un essai démontrant que le volume d'eau est évacué à la mise en pression nominale ;• Indiquer dans l’ATec qu’une poche d'eau du volume de X litres (à définir) est à vérifier sous charge de neige à l'ELU ;• Faire une analyse au niveau des pannes intermédiaires.Cette liste est non exhaustive, le demandeur peut fournir tout élément justificatif qu’il juge pertinent dans le cadre de sa demande.</w:t>
      </w:r>
    </w:p>
    <w:p>
      <w:pPr>
        <w:ind w:left="1440" w:right="0"/>
      </w:pPr>
      <w:r>
        <w:rPr>
          <w:rStyle w:val="font_h3"/>
        </w:rPr>
        <w:t xml:space="preserve">2.1.2. Moyens de protection anti-volatile</w:t>
      </w:r>
    </w:p>
    <w:p>
      <w:pPr/>
      <w:r>
        <w:rPr/>
        <w:t xml:space="preserve">Validé par le Groupe Spécialisé le 25/01/2022</w:t>
      </w:r>
    </w:p>
    <w:p>
      <w:pPr/>
      <w:r>
        <w:rPr>
          <w:b/>
          <w:bCs/>
        </w:rPr>
        <w:t xml:space="preserve">Description</w:t>
      </w:r>
    </w:p>
    <w:p>
      <w:pPr/>
      <w:r>
        <w:rPr/>
        <w:t xml:space="preserve">Afin d'assurer une durée de vie d’une verrière ETFE compatible avec la vie de l’ouvrage, la maitrise d’ouvragedevra intégrer à son projet une analyse de risques d’endommagement vis à vis des volatiles nuisibles ; lebut de cette analyse étant de limiter la possibilité pour les oiseaux de se poser sur les ossatures ou lescoussins par la mise en place de dispositifs d’éloignement physique ou d’effarouchement tels que décritsdans les exemples suivants :o Fixation sur les profilés de couvertures de protection en acier inoxydable avec support en forme deV (espacement d’environ 1,5m), qui maintiennent en place 2 à 3 fils (diamètre = 2mm) ; la tension dufil est créée au moyen d'un ressort, qui est fixé à l'extrémité de chaque dispositif.o Mise en place de filets adaptés (résistants aux intempéries, aux UV, aux insectes et oiseaux, à lapollution etc.).o Installation de systèmes d’effarouchement de type : envoi d’ultrasons ou de sons spécifiques auxnuisibles, menace mobile, laser invisible pour l’œil humain, détection à reconnaissance de forme,détection à reconnaissance vocale, fauconniers, drones,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2025-10-30T13:48:22+01:00</dcterms:created>
  <dcterms:modified xsi:type="dcterms:W3CDTF">2025-10-30T13:48:22+01:00</dcterms:modified>
</cp:coreProperties>
</file>

<file path=docProps/custom.xml><?xml version="1.0" encoding="utf-8"?>
<Properties xmlns="http://schemas.openxmlformats.org/officeDocument/2006/custom-properties" xmlns:vt="http://schemas.openxmlformats.org/officeDocument/2006/docPropsVTypes"/>
</file>