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Barrière anti-termites</w:t>
      </w:r>
    </w:p>
    <w:p>
      <w:pPr/>
      <w:r>
        <w:rPr>
          <w:rStyle w:val="font_h1"/>
        </w:rPr>
        <w:t xml:space="preserve">1. Barrière physique</w:t>
      </w:r>
    </w:p>
    <w:p>
      <w:pPr>
        <w:ind w:left="720" w:right="0"/>
      </w:pPr>
      <w:r>
        <w:rPr>
          <w:rStyle w:val="font_h2"/>
        </w:rPr>
        <w:t xml:space="preserve">1.1.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1.2.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1.3. Eléments et matériaux</w:t>
      </w:r>
    </w:p>
    <w:p>
      <w:pPr>
        <w:ind w:left="1440" w:right="0"/>
      </w:pPr>
      <w:r>
        <w:rPr>
          <w:rStyle w:val="font_h3"/>
        </w:rPr>
        <w:t xml:space="preserve">1.3.1.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ainsi que les accessoires utilisés (nature, aspect, dimensions…).</w:t>
      </w:r>
    </w:p>
    <w:p>
      <w:pPr>
        <w:ind w:left="1440" w:right="0"/>
      </w:pPr>
      <w:r>
        <w:rPr>
          <w:rStyle w:val="font_h3"/>
        </w:rPr>
        <w:t xml:space="preserve">1.3.2.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720" w:right="0"/>
      </w:pPr>
      <w:r>
        <w:rPr>
          <w:rStyle w:val="font_h2"/>
        </w:rPr>
        <w:t xml:space="preserve">1.4.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9"/>
        </w:numPr>
      </w:pPr>
      <w:r>
        <w:rPr/>
        <w:t xml:space="preserve">Liste des usines </w:t>
      </w:r>
    </w:p>
    <w:p>
      <w:pPr>
        <w:pPr/>
        <w:numPr>
          <w:ilvl w:val="0"/>
          <w:numId w:val="9"/>
        </w:numPr>
      </w:pPr>
      <w:r>
        <w:rPr/>
        <w:t xml:space="preserve">Liste des éléments produits dans chaque usine</w:t>
      </w:r>
    </w:p>
    <w:p>
      <w:pPr>
        <w:pPr/>
        <w:numPr>
          <w:ilvl w:val="0"/>
          <w:numId w:val="9"/>
        </w:numPr>
      </w:pPr>
      <w:r>
        <w:rPr/>
        <w:t xml:space="preserve">Description du processus de fabrication</w:t>
      </w:r>
    </w:p>
    <w:p>
      <w:pPr>
        <w:pPr/>
        <w:numPr>
          <w:ilvl w:val="0"/>
          <w:numId w:val="9"/>
        </w:numPr>
      </w:pPr>
      <w:r>
        <w:rPr/>
        <w:t xml:space="preserve">Tolérances de fabrication</w:t>
      </w:r>
    </w:p>
    <w:p>
      <w:pPr>
        <w:pPr/>
        <w:numPr>
          <w:ilvl w:val="0"/>
          <w:numId w:val="9"/>
        </w:numPr>
      </w:pPr>
      <w:r>
        <w:rPr/>
        <w:t xml:space="preserve">Nature et fréquence des contrôles de production</w:t>
      </w:r>
    </w:p>
    <w:p>
      <w:pPr>
        <w:pPr/>
        <w:numPr>
          <w:ilvl w:val="0"/>
          <w:numId w:val="9"/>
        </w:numPr>
      </w:pPr>
      <w:r>
        <w:rPr/>
        <w:t xml:space="preserve">Description du marquage apposé sur les éléments</w:t>
      </w:r>
    </w:p>
    <w:p>
      <w:pPr>
        <w:pPr/>
        <w:numPr>
          <w:ilvl w:val="0"/>
          <w:numId w:val="9"/>
        </w:numPr>
      </w:pPr>
      <w:r>
        <w:rPr/>
        <w:t xml:space="preserve">Certification tierce partie</w:t>
      </w:r>
    </w:p>
    <w:p>
      <w:pPr>
        <w:pPr/>
        <w:numPr>
          <w:ilvl w:val="0"/>
          <w:numId w:val="9"/>
        </w:numPr>
      </w:pPr>
      <w:r>
        <w:rPr/>
        <w:t xml:space="preserve">Conditionnement</w:t>
      </w:r>
    </w:p>
    <w:p>
      <w:pPr>
        <w:ind w:left="720" w:right="0"/>
      </w:pPr>
      <w:r>
        <w:rPr>
          <w:rStyle w:val="font_h2"/>
        </w:rPr>
        <w:t xml:space="preserve">1.5. Contrôles de fabrication</w:t>
      </w:r>
    </w:p>
    <w:p>
      <w:pPr>
        <w:ind w:left="1440" w:right="0"/>
      </w:pPr>
      <w:r>
        <w:rPr>
          <w:rStyle w:val="font_h3"/>
        </w:rPr>
        <w:t xml:space="preserve">1.5.1.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0"/>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0"/>
        </w:numPr>
      </w:pPr>
      <w:r>
        <w:rPr/>
        <w:t xml:space="preserve">Description des contrôles externes réalisés : Point vérifiés, valeurs cibles, tolérances, fréquences de contrôle…</w:t>
      </w:r>
    </w:p>
    <w:p>
      <w:pPr>
        <w:pPr/>
        <w:numPr>
          <w:ilvl w:val="0"/>
          <w:numId w:val="10"/>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1.5.2. Cas particulier les procédés revendiquant également la fonction de barrière anti remontées capillaires:</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1.6. Fourniture et assistance technique</w:t>
      </w:r>
    </w:p>
    <w:p>
      <w:pPr>
        <w:ind w:left="1440" w:right="0"/>
      </w:pPr>
      <w:r>
        <w:rPr>
          <w:rStyle w:val="font_h3"/>
        </w:rPr>
        <w:t xml:space="preserve">1.6.1. Fourniture</w:t>
      </w:r>
    </w:p>
    <w:p>
      <w:pPr/>
      <w:r>
        <w:rPr/>
        <w:t xml:space="preserve">Validé par le Groupe Spécialisé le 27/11/2018</w:t>
      </w:r>
    </w:p>
    <w:p>
      <w:pPr/>
      <w:r>
        <w:rPr>
          <w:b/>
          <w:bCs/>
        </w:rPr>
        <w:t xml:space="preserve">Description</w:t>
      </w:r>
    </w:p>
    <w:p>
      <w:pPr/>
      <w:r>
        <w:rPr/>
        <w:t xml:space="preserve">Décrire le mode de fourniture.</w:t>
      </w:r>
    </w:p>
    <w:p>
      <w:pPr>
        <w:ind w:left="1440" w:right="0"/>
      </w:pPr>
      <w:r>
        <w:rPr>
          <w:rStyle w:val="font_h3"/>
        </w:rPr>
        <w:t xml:space="preserve">1.6.2.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1"/>
        </w:numPr>
      </w:pPr>
      <w:r>
        <w:rPr/>
        <w:t xml:space="preserve">Liste des applicateurs agréés à jour</w:t>
      </w:r>
    </w:p>
    <w:p>
      <w:pPr>
        <w:pPr/>
        <w:numPr>
          <w:ilvl w:val="0"/>
          <w:numId w:val="11"/>
        </w:numPr>
      </w:pPr>
      <w:r>
        <w:rPr/>
        <w:t xml:space="preserve">Nature du mode de sélection/qualification des applicateur agréés</w:t>
      </w:r>
    </w:p>
    <w:p>
      <w:pPr>
        <w:ind w:left="720" w:right="0"/>
      </w:pPr>
      <w:r>
        <w:rPr>
          <w:rStyle w:val="font_h2"/>
        </w:rPr>
        <w:t xml:space="preserve">1.7.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2"/>
        </w:numPr>
      </w:pPr>
      <w:r>
        <w:rPr/>
        <w:t xml:space="preserve">Réception des supports : Décrire en détail les critères de réception + mode de vérification des supports.</w:t>
      </w:r>
    </w:p>
    <w:p>
      <w:pPr>
        <w:pPr/>
        <w:numPr>
          <w:ilvl w:val="0"/>
          <w:numId w:val="12"/>
        </w:numPr>
      </w:pPr>
      <w:r>
        <w:rPr/>
        <w:t xml:space="preserve">Pose complète : Décrire en détail le mode de pose complète.</w:t>
      </w:r>
    </w:p>
    <w:p>
      <w:pPr>
        <w:pPr/>
        <w:numPr>
          <w:ilvl w:val="0"/>
          <w:numId w:val="12"/>
        </w:numPr>
      </w:pPr>
      <w:r>
        <w:rPr/>
        <w:t xml:space="preserve">Pose partielle : Décrire en détail le mode de pose partielle.</w:t>
      </w:r>
    </w:p>
    <w:p>
      <w:pPr>
        <w:pPr/>
        <w:numPr>
          <w:ilvl w:val="0"/>
          <w:numId w:val="12"/>
        </w:numPr>
      </w:pPr>
      <w:r>
        <w:rPr/>
        <w:t xml:space="preserve">Traitement des points singuliers : Décrire en détail le mode de traitement des points singuliers.</w:t>
      </w:r>
    </w:p>
    <w:p>
      <w:pPr>
        <w:pPr/>
        <w:numPr>
          <w:ilvl w:val="0"/>
          <w:numId w:val="12"/>
        </w:numPr>
      </w:pPr>
      <w:r>
        <w:rPr/>
        <w:t xml:space="preserve">Zone de recouvrement : Décrire en détail comment est réalisée la jonction entre deux lés de barrière anti-termite.</w:t>
      </w:r>
    </w:p>
    <w:p>
      <w:pPr>
        <w:pPr/>
        <w:numPr>
          <w:ilvl w:val="0"/>
          <w:numId w:val="12"/>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13"/>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13"/>
        </w:numPr>
      </w:pPr>
      <w:r>
        <w:rPr/>
        <w:t xml:space="preserve">Rapport d’essai justifiant la résistance à la déchirure au clou pour une pose verticale selon la norme NF EN 12310-1; </w:t>
      </w:r>
    </w:p>
    <w:p>
      <w:pPr>
        <w:pPr/>
        <w:numPr>
          <w:ilvl w:val="0"/>
          <w:numId w:val="13"/>
        </w:numPr>
      </w:pPr>
      <w:r>
        <w:rPr/>
        <w:t xml:space="preserve">Rapport d’essai justifiant la résistance au cisaillement des joints des barrières selon la norme NF EN 12317-2 ; </w:t>
      </w:r>
    </w:p>
    <w:p>
      <w:pPr>
        <w:pPr/>
        <w:numPr>
          <w:ilvl w:val="0"/>
          <w:numId w:val="13"/>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1.8.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1.9. Parasismique</w:t>
      </w:r>
    </w:p>
    <w:p>
      <w:pPr/>
      <w:r>
        <w:rPr/>
        <w:t xml:space="preserve">Validé par le Groupe Spécialisé le 13/11/2024</w:t>
      </w:r>
    </w:p>
    <w:p>
      <w:pPr/>
      <w:r>
        <w:rPr>
          <w:b/>
          <w:bCs/>
        </w:rPr>
        <w:t xml:space="preserve">Description</w:t>
      </w:r>
    </w:p>
    <w:p>
      <w:pPr/>
      <w:r>
        <w:rPr/>
        <w:t xml:space="preserve">Préciser si les ouvrages nécessitant des dispositions parasismiques au sens de l’arrêté du 22 octobre 2010 modifié sont visés.</w:t>
      </w:r>
      <w:br/>
      <w:r>
        <w:rPr/>
        <w:t xml:space="preserve">Si oui, dans quelle(s) configuration(s) ?</w:t>
      </w:r>
    </w:p>
    <w:p>
      <w:pPr/>
      <w:r>
        <w:rPr>
          <w:b/>
          <w:bCs/>
        </w:rPr>
        <w:t xml:space="preserve">Justification</w:t>
      </w:r>
    </w:p>
    <w:p>
      <w:pPr/>
      <w:r>
        <w:rPr/>
        <w:t xml:space="preserve">Si les ouvrages nécessitant des dispositions parasismiques au sens de l’arrêté du 22 octobre 2010 sont visés, il faut justifier que la présence de la barrière dans le joint de maçonnerie ne perturbe pas le fonctionnement mécanique en cisaillement de celui-ci.</w:t>
      </w:r>
    </w:p>
    <w:p>
      <w:pPr/>
      <w:r>
        <w:rPr/>
        <w:t xml:space="preserve">[ Cette justification peut être apportée par des essais de cisaillement (inspirés du protocole d’essai de la norme NF EN 1052-3) comparatifs avec barrière/sans barrière. Pour chaque configuration, il est préférable de tester trois échantillons minima. ]</w:t>
      </w:r>
    </w:p>
    <w:p>
      <w:pPr/>
      <w:r>
        <w:rPr>
          <w:b/>
          <w:bCs/>
        </w:rPr>
        <w:t xml:space="preserve">Critères d'évaluation</w:t>
      </w:r>
    </w:p>
    <w:p>
      <w:pPr/>
      <w:r>
        <w:rPr/>
        <w:t xml:space="preserve">La valeur de résistance au cisaillement caractéristique obtenue dans le cas joint avec barrière doit être égale à celle obtenue dans le cas joint sans barrière à ±25%.</w:t>
      </w:r>
    </w:p>
    <w:p>
      <w:pPr>
        <w:ind w:left="720" w:right="0"/>
      </w:pPr>
      <w:r>
        <w:rPr>
          <w:rStyle w:val="font_h2"/>
        </w:rPr>
        <w:t xml:space="preserve">1.10.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 non-pénétration du produit/système par des termites.</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1.11.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14"/>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14"/>
        </w:numPr>
      </w:pPr>
      <w:r>
        <w:rPr/>
        <w:t xml:space="preserve">Le cas échéant, justification par essais de la tenue des revêtements extérieurs éventuellement mis en œuvre sur la barrière anti-termite.</w:t>
      </w:r>
    </w:p>
    <w:p>
      <w:pPr>
        <w:pPr/>
        <w:numPr>
          <w:ilvl w:val="0"/>
          <w:numId w:val="14"/>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14"/>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14"/>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1.12.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1.13.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p>
      <w:pPr/>
      <w:r>
        <w:rPr>
          <w:rStyle w:val="font_h1"/>
        </w:rPr>
        <w:t xml:space="preserve">2. Barrière physico-chimique</w:t>
      </w:r>
    </w:p>
    <w:p>
      <w:pPr>
        <w:ind w:left="720" w:right="0"/>
      </w:pPr>
      <w:r>
        <w:rPr>
          <w:rStyle w:val="font_h2"/>
        </w:rPr>
        <w:t xml:space="preserve">2.1.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2.2.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2.3. Eléments et matériaux</w:t>
      </w:r>
    </w:p>
    <w:p>
      <w:pPr>
        <w:ind w:left="1440" w:right="0"/>
      </w:pPr>
      <w:r>
        <w:rPr>
          <w:rStyle w:val="font_h3"/>
        </w:rPr>
        <w:t xml:space="preserve">2.3.1.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matière active…) ainsi que les accessoires utilisés (nature, aspect, dimensions, matière active…).</w:t>
      </w:r>
    </w:p>
    <w:p>
      <w:pPr>
        <w:ind w:left="1440" w:right="0"/>
      </w:pPr>
      <w:r>
        <w:rPr>
          <w:rStyle w:val="font_h3"/>
        </w:rPr>
        <w:t xml:space="preserve">2.3.2.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1440" w:right="0"/>
      </w:pPr>
      <w:r>
        <w:rPr>
          <w:rStyle w:val="font_h3"/>
        </w:rPr>
        <w:t xml:space="preserve">2.3.3. Biocide</w:t>
      </w:r>
    </w:p>
    <w:p>
      <w:pPr/>
      <w:r>
        <w:rPr/>
        <w:t xml:space="preserve">Validé par le Groupe Spécialisé le 27/11/2018</w:t>
      </w:r>
    </w:p>
    <w:p>
      <w:pPr/>
      <w:r>
        <w:rPr>
          <w:b/>
          <w:bCs/>
        </w:rPr>
        <w:t xml:space="preserve">Description</w:t>
      </w:r>
    </w:p>
    <w:p>
      <w:pPr/>
      <w:r>
        <w:rPr/>
        <w:t xml:space="preserve">Nature du biocide utilisé, concentration, N°AMM. Si plusieurs biocides sont utilisés pour la gamme et/ou les accessoires, ils doivent tous être détaillés.</w:t>
      </w:r>
    </w:p>
    <w:p>
      <w:pPr/>
      <w:r>
        <w:rPr>
          <w:b/>
          <w:bCs/>
        </w:rPr>
        <w:t xml:space="preserve">Justification</w:t>
      </w:r>
    </w:p>
    <w:p>
      <w:pPr/>
      <w:r>
        <w:rPr/>
        <w:t xml:space="preserve">Document de décision d’AMMouDocument d’autorisation provisoire en attente d’AMM</w:t>
      </w:r>
    </w:p>
    <w:p>
      <w:pPr/>
      <w:r>
        <w:rPr>
          <w:b/>
          <w:bCs/>
        </w:rPr>
        <w:t xml:space="preserve">Critères d'évaluation</w:t>
      </w:r>
    </w:p>
    <w:p>
      <w:pPr>
        <w:pPr/>
        <w:numPr>
          <w:ilvl w:val="0"/>
          <w:numId w:val="15"/>
        </w:numPr>
      </w:pPr>
      <w:r>
        <w:rPr/>
        <w:t xml:space="preserve">Date de début et de fin de validité de l’AMM (ou de l’autorisation provisoire en attente d’AMM) compatible avec la durée de validité de l’Avis Technique</w:t>
      </w:r>
    </w:p>
    <w:p>
      <w:pPr>
        <w:pPr/>
        <w:numPr>
          <w:ilvl w:val="0"/>
          <w:numId w:val="15"/>
        </w:numPr>
      </w:pPr>
      <w:r>
        <w:rPr/>
        <w:t xml:space="preserve">Compatibilité des conditions de validité de l’AMM avec le mode d’utilisation (exemple : exclusion d’utilisation en conditions humides)</w:t>
      </w:r>
    </w:p>
    <w:p>
      <w:pPr>
        <w:pPr/>
        <w:numPr>
          <w:ilvl w:val="0"/>
          <w:numId w:val="15"/>
        </w:numPr>
      </w:pPr>
      <w:r>
        <w:rPr/>
        <w:t xml:space="preserve">Vérifier que l’AMM est disponible sur la plate-forme SIMMBAD.</w:t>
      </w:r>
    </w:p>
    <w:p>
      <w:pPr>
        <w:ind w:left="720" w:right="0"/>
      </w:pPr>
      <w:r>
        <w:rPr>
          <w:rStyle w:val="font_h2"/>
        </w:rPr>
        <w:t xml:space="preserve">2.4.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16"/>
        </w:numPr>
      </w:pPr>
      <w:r>
        <w:rPr/>
        <w:t xml:space="preserve">Liste des usines </w:t>
      </w:r>
    </w:p>
    <w:p>
      <w:pPr>
        <w:pPr/>
        <w:numPr>
          <w:ilvl w:val="0"/>
          <w:numId w:val="16"/>
        </w:numPr>
      </w:pPr>
      <w:r>
        <w:rPr/>
        <w:t xml:space="preserve">Liste des éléments produits dans chaque usine</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Description du marquage apposé sur les éléments</w:t>
      </w:r>
    </w:p>
    <w:p>
      <w:pPr>
        <w:pPr/>
        <w:numPr>
          <w:ilvl w:val="0"/>
          <w:numId w:val="16"/>
        </w:numPr>
      </w:pPr>
      <w:r>
        <w:rPr/>
        <w:t xml:space="preserve">Certification tierce partie</w:t>
      </w:r>
    </w:p>
    <w:p>
      <w:pPr>
        <w:pPr/>
        <w:numPr>
          <w:ilvl w:val="0"/>
          <w:numId w:val="16"/>
        </w:numPr>
      </w:pPr>
      <w:r>
        <w:rPr/>
        <w:t xml:space="preserve">Conditionnement</w:t>
      </w:r>
    </w:p>
    <w:p>
      <w:pPr>
        <w:ind w:left="720" w:right="0"/>
      </w:pPr>
      <w:r>
        <w:rPr>
          <w:rStyle w:val="font_h2"/>
        </w:rPr>
        <w:t xml:space="preserve">2.5. Contrôles de fabrication</w:t>
      </w:r>
    </w:p>
    <w:p>
      <w:pPr>
        <w:ind w:left="1440" w:right="0"/>
      </w:pPr>
      <w:r>
        <w:rPr>
          <w:rStyle w:val="font_h3"/>
        </w:rPr>
        <w:t xml:space="preserve">2.5.1.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7"/>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7"/>
        </w:numPr>
      </w:pPr>
      <w:r>
        <w:rPr/>
        <w:t xml:space="preserve">Description des contrôles externes réalisés : Point vérifiés, valeurs cibles, tolérances, fréquences de contrôle…</w:t>
      </w:r>
    </w:p>
    <w:p>
      <w:pPr>
        <w:pPr/>
        <w:numPr>
          <w:ilvl w:val="0"/>
          <w:numId w:val="17"/>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2.5.2. Cas particulier les procédés revendiquant également la fonction de barrière anti remontées capillaires</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2.6. Fourniture et assistance technique</w:t>
      </w:r>
    </w:p>
    <w:p>
      <w:pPr>
        <w:ind w:left="1440" w:right="0"/>
      </w:pPr>
      <w:r>
        <w:rPr>
          <w:rStyle w:val="font_h3"/>
        </w:rPr>
        <w:t xml:space="preserve">2.6.1. Fourniture</w:t>
      </w:r>
    </w:p>
    <w:p>
      <w:pPr/>
      <w:r>
        <w:rPr/>
        <w:t xml:space="preserve">Validé par le Groupe Spécialisé le 27/11/2018</w:t>
      </w:r>
    </w:p>
    <w:p>
      <w:pPr/>
      <w:r>
        <w:rPr>
          <w:b/>
          <w:bCs/>
        </w:rPr>
        <w:t xml:space="preserve">Description</w:t>
      </w:r>
    </w:p>
    <w:p>
      <w:pPr/>
      <w:r>
        <w:rPr/>
        <w:t xml:space="preserve">Décrire le mode de fourniture. Préciser que les vendeurs et les applicateurs de procédés contenant du biocide sont certifiés Certiphyto, conformément à l’arrêté du 9 octobre 2013.</w:t>
      </w:r>
    </w:p>
    <w:p>
      <w:pPr/>
      <w:r>
        <w:rPr>
          <w:b/>
          <w:bCs/>
        </w:rPr>
        <w:t xml:space="preserve">Justification</w:t>
      </w:r>
    </w:p>
    <w:p>
      <w:pPr/>
      <w:r>
        <w:rPr/>
        <w:t xml:space="preserve">Certificat Certiphyto du distributeur</w:t>
      </w:r>
    </w:p>
    <w:p>
      <w:pPr>
        <w:ind w:left="1440" w:right="0"/>
      </w:pPr>
      <w:r>
        <w:rPr>
          <w:rStyle w:val="font_h3"/>
        </w:rPr>
        <w:t xml:space="preserve">2.6.2.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8"/>
        </w:numPr>
      </w:pPr>
      <w:r>
        <w:rPr/>
        <w:t xml:space="preserve">Liste des applicateurs agréés à jour</w:t>
      </w:r>
    </w:p>
    <w:p>
      <w:pPr>
        <w:pPr/>
        <w:numPr>
          <w:ilvl w:val="0"/>
          <w:numId w:val="18"/>
        </w:numPr>
      </w:pPr>
      <w:r>
        <w:rPr/>
        <w:t xml:space="preserve">Nature du mode de sélection/qualification des applicateur agréés</w:t>
      </w:r>
    </w:p>
    <w:p>
      <w:pPr>
        <w:ind w:left="720" w:right="0"/>
      </w:pPr>
      <w:r>
        <w:rPr>
          <w:rStyle w:val="font_h2"/>
        </w:rPr>
        <w:t xml:space="preserve">2.7.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9"/>
        </w:numPr>
      </w:pPr>
      <w:r>
        <w:rPr/>
        <w:t xml:space="preserve">Réception des supports : Décrire en détail les critères de réception + mode de vérification des supports.</w:t>
      </w:r>
    </w:p>
    <w:p>
      <w:pPr>
        <w:pPr/>
        <w:numPr>
          <w:ilvl w:val="0"/>
          <w:numId w:val="19"/>
        </w:numPr>
      </w:pPr>
      <w:r>
        <w:rPr/>
        <w:t xml:space="preserve">Pose complète : Décrire en détail le mode de pose complète.</w:t>
      </w:r>
    </w:p>
    <w:p>
      <w:pPr>
        <w:pPr/>
        <w:numPr>
          <w:ilvl w:val="0"/>
          <w:numId w:val="19"/>
        </w:numPr>
      </w:pPr>
      <w:r>
        <w:rPr/>
        <w:t xml:space="preserve">Pose partielle : Décrire en détail le mode de pose partielle.</w:t>
      </w:r>
    </w:p>
    <w:p>
      <w:pPr>
        <w:pPr/>
        <w:numPr>
          <w:ilvl w:val="0"/>
          <w:numId w:val="19"/>
        </w:numPr>
      </w:pPr>
      <w:r>
        <w:rPr/>
        <w:t xml:space="preserve">Traitement des points singuliers : Décrire en détail le mode de traitement des points singuliers.</w:t>
      </w:r>
    </w:p>
    <w:p>
      <w:pPr>
        <w:pPr/>
        <w:numPr>
          <w:ilvl w:val="0"/>
          <w:numId w:val="19"/>
        </w:numPr>
      </w:pPr>
      <w:r>
        <w:rPr/>
        <w:t xml:space="preserve">Zone de recouvrement : Décrire en détail comment est réalisée la jonction entre deux lés de barrière anti-termite.</w:t>
      </w:r>
    </w:p>
    <w:p>
      <w:pPr>
        <w:pPr/>
        <w:numPr>
          <w:ilvl w:val="0"/>
          <w:numId w:val="19"/>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20"/>
        </w:numPr>
      </w:pPr>
      <w:r>
        <w:rPr/>
        <w:t xml:space="preserve">Rapport d’essai ou données d’étude justifiant la stabilité chimique de la substance biocide aux hautes températures (40°C) et températures négatives (concerne les barrières physico-chimiques) ;</w:t>
      </w:r>
    </w:p>
    <w:p>
      <w:pPr>
        <w:pPr/>
        <w:numPr>
          <w:ilvl w:val="0"/>
          <w:numId w:val="20"/>
        </w:numPr>
      </w:pPr>
      <w:r>
        <w:rPr/>
        <w:t xml:space="preserve">Justification du risque éco-toxicologique et toxicologique des matières actives ; </w:t>
      </w:r>
    </w:p>
    <w:p>
      <w:pPr>
        <w:pPr/>
        <w:numPr>
          <w:ilvl w:val="0"/>
          <w:numId w:val="20"/>
        </w:numPr>
      </w:pPr>
      <w:r>
        <w:rPr/>
        <w:t xml:space="preserve">Description des protections des applicateurs vis à vis des matières actives employées ; </w:t>
      </w:r>
    </w:p>
    <w:p>
      <w:pPr>
        <w:pPr/>
        <w:numPr>
          <w:ilvl w:val="0"/>
          <w:numId w:val="20"/>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20"/>
        </w:numPr>
      </w:pPr>
      <w:r>
        <w:rPr/>
        <w:t xml:space="preserve">Rapport d’essai justifiant la résistance à la déchirure au clou pour une pose verticale selon la norme NF EN 12310-1; </w:t>
      </w:r>
    </w:p>
    <w:p>
      <w:pPr>
        <w:pPr/>
        <w:numPr>
          <w:ilvl w:val="0"/>
          <w:numId w:val="20"/>
        </w:numPr>
      </w:pPr>
      <w:r>
        <w:rPr/>
        <w:t xml:space="preserve">Rapport d’essai justifiant la résistance au cisaillement des joints des barrières selon la norme NF EN 12317-2 ; </w:t>
      </w:r>
    </w:p>
    <w:p>
      <w:pPr>
        <w:pPr/>
        <w:numPr>
          <w:ilvl w:val="0"/>
          <w:numId w:val="20"/>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2.8.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2.9.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l’aspect létal et/ou répulsif des barrières physico-chimiques s’opposant à la pénétration du produit/système par des termites suivant XP X 41-550.</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2.10.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21"/>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21"/>
        </w:numPr>
      </w:pPr>
      <w:r>
        <w:rPr/>
        <w:t xml:space="preserve">Pour les procédés dont la matière active est incorporée par un processus d’enrobage ou d’encapsulage, ou par trempage, rapport d’essai justifiant l’efficacité anti-termite avec vieillissement par température négative (par exemple essai XP X 41-550 après vieillissement selon protocole d’essai NF EN 495-5. Possibilité de justifier ce point par retour d’expérience terrain. </w:t>
      </w:r>
    </w:p>
    <w:p>
      <w:pPr>
        <w:pPr/>
        <w:numPr>
          <w:ilvl w:val="0"/>
          <w:numId w:val="21"/>
        </w:numPr>
      </w:pPr>
      <w:r>
        <w:rPr/>
        <w:t xml:space="preserve">Le cas échéant, justification par essais de la tenue des revêtements extérieurs éventuellement mis en œuvre sur la barrière anti-termite.</w:t>
      </w:r>
    </w:p>
    <w:p>
      <w:pPr>
        <w:pPr/>
        <w:numPr>
          <w:ilvl w:val="0"/>
          <w:numId w:val="21"/>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21"/>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21"/>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2.11.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2.12.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704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C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B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B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A4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E4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51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30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0A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31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14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2E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62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2025-12-10T05:34:50+01:00</dcterms:created>
  <dcterms:modified xsi:type="dcterms:W3CDTF">2025-12-10T05:34:50+01:00</dcterms:modified>
</cp:coreProperties>
</file>

<file path=docProps/custom.xml><?xml version="1.0" encoding="utf-8"?>
<Properties xmlns="http://schemas.openxmlformats.org/officeDocument/2006/custom-properties" xmlns:vt="http://schemas.openxmlformats.org/officeDocument/2006/docPropsVTypes"/>
</file>