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09/05/2026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Barrière anti-termites</w:t>
      </w:r>
    </w:p>
    <w:p>
      <w:pPr/>
      <w:r>
        <w:rPr>
          <w:rStyle w:val="font_h1"/>
        </w:rPr>
        <w:t xml:space="preserve">1. Barrière physique</w:t>
      </w:r>
    </w:p>
    <w:p>
      <w:pPr>
        <w:ind w:left="720" w:right="0"/>
      </w:pPr>
      <w:r>
        <w:rPr>
          <w:rStyle w:val="font_h2"/>
        </w:rPr>
        <w:t xml:space="preserve">1.1. Principe</w:t>
      </w:r>
    </w:p>
    <w:p>
      <w:pPr/>
      <w:r>
        <w:rPr/>
        <w:t xml:space="preserve">Validé par le Groupe Spécialisé le 27/11/2018</w:t>
      </w:r>
    </w:p>
    <w:p>
      <w:pPr/>
      <w:r>
        <w:rPr>
          <w:b/>
          <w:bCs/>
        </w:rPr>
        <w:t xml:space="preserve">Description</w:t>
      </w:r>
    </w:p>
    <w:p>
      <w:pPr/>
      <w:r>
        <w:rPr/>
        <w:t xml:space="preserve">Décrire le procédé et sa conception.</w:t>
      </w:r>
    </w:p>
    <w:p>
      <w:pPr>
        <w:ind w:left="720" w:right="0"/>
      </w:pPr>
      <w:r>
        <w:rPr>
          <w:rStyle w:val="font_h2"/>
        </w:rPr>
        <w:t xml:space="preserve">1.2. Domaine d’emploi</w:t>
      </w:r>
    </w:p>
    <w:p>
      <w:pPr/>
      <w:r>
        <w:rPr/>
        <w:t xml:space="preserve">Validé par le Groupe Spécialisé le 22/06/2023</w:t>
      </w:r>
    </w:p>
    <w:p>
      <w:pPr/>
      <w:r>
        <w:rPr>
          <w:b/>
          <w:bCs/>
        </w:rPr>
        <w:t xml:space="preserve">Description</w:t>
      </w:r>
    </w:p>
    <w:p>
      <w:pPr/>
      <w:r>
        <w:rPr/>
        <w:t xml:space="preserve">Indiquer le domaine d’emploi.</w:t>
      </w:r>
    </w:p>
    <w:p>
      <w:pPr/>
      <w:r>
        <w:rPr/>
        <w:t xml:space="preserve">En cas d’utilisation avec les procédés de « Bloc de coffrage isolant », les dispositions à respecter doivent être décrites.</w:t>
      </w:r>
    </w:p>
    <w:p>
      <w:pPr>
        <w:ind w:left="720" w:right="0"/>
      </w:pPr>
      <w:r>
        <w:rPr>
          <w:rStyle w:val="font_h2"/>
        </w:rPr>
        <w:t xml:space="preserve">1.3. Eléments et matériaux</w:t>
      </w:r>
    </w:p>
    <w:p>
      <w:pPr>
        <w:ind w:left="1440" w:right="0"/>
      </w:pPr>
      <w:r>
        <w:rPr>
          <w:rStyle w:val="font_h3"/>
        </w:rPr>
        <w:t xml:space="preserve">1.3.1. Eléments</w:t>
      </w:r>
    </w:p>
    <w:p>
      <w:pPr/>
      <w:r>
        <w:rPr/>
        <w:t xml:space="preserve">Validé par le Groupe Spécialisé le 27/11/2018</w:t>
      </w:r>
    </w:p>
    <w:p>
      <w:pPr/>
      <w:r>
        <w:rPr>
          <w:b/>
          <w:bCs/>
        </w:rPr>
        <w:t xml:space="preserve">Description</w:t>
      </w:r>
    </w:p>
    <w:p>
      <w:pPr/>
      <w:r>
        <w:rPr/>
        <w:t xml:space="preserve">Décrire les différents éléments de la gamme (nature, aspect, dimensions…) ainsi que les accessoires utilisés (nature, aspect, dimensions…).</w:t>
      </w:r>
    </w:p>
    <w:p>
      <w:pPr>
        <w:ind w:left="1440" w:right="0"/>
      </w:pPr>
      <w:r>
        <w:rPr>
          <w:rStyle w:val="font_h3"/>
        </w:rPr>
        <w:t xml:space="preserve">1.3.2. Matériaux</w:t>
      </w:r>
    </w:p>
    <w:p>
      <w:pPr/>
      <w:r>
        <w:rPr/>
        <w:t xml:space="preserve">Validé par le Groupe Spécialisé le 27/11/2018</w:t>
      </w:r>
    </w:p>
    <w:p>
      <w:pPr/>
      <w:r>
        <w:rPr>
          <w:b/>
          <w:bCs/>
        </w:rPr>
        <w:t xml:space="preserve">Description</w:t>
      </w:r>
    </w:p>
    <w:p>
      <w:pPr/>
      <w:r>
        <w:rPr/>
        <w:t xml:space="preserve">Décrire les matériaux constitutifs des éléments de la gamme (résine, métal, film plastique…) et des accessoires.</w:t>
      </w:r>
    </w:p>
    <w:p>
      <w:pPr>
        <w:ind w:left="720" w:right="0"/>
      </w:pPr>
      <w:r>
        <w:rPr>
          <w:rStyle w:val="font_h2"/>
        </w:rPr>
        <w:t xml:space="preserve">1.4. Fabrication</w:t>
      </w:r>
    </w:p>
    <w:p>
      <w:pPr/>
      <w:r>
        <w:rPr/>
        <w:t xml:space="preserve">Validé par le Groupe Spécialisé le 27/11/2018</w:t>
      </w:r>
    </w:p>
    <w:p>
      <w:pPr/>
      <w:r>
        <w:rPr>
          <w:b/>
          <w:bCs/>
        </w:rPr>
        <w:t xml:space="preserve">Description</w:t>
      </w:r>
    </w:p>
    <w:p>
      <w:pPr/>
      <w:r>
        <w:rPr/>
        <w:t xml:space="preserve">La méthodologie de fabrication des produits constitutifs doit être détaillée.</w:t>
      </w:r>
    </w:p>
    <w:p>
      <w:pPr/>
      <w:r>
        <w:rPr>
          <w:b/>
          <w:bCs/>
        </w:rPr>
        <w:t xml:space="preserve">Justification</w:t>
      </w:r>
    </w:p>
    <w:p>
      <w:pPr/>
      <w:r>
        <w:rPr/>
        <w:t xml:space="preserve">Les points suivants doivent être indiqués dans le Dossier Technique :</w:t>
      </w:r>
    </w:p>
    <w:p>
      <w:pPr>
        <w:pPr/>
        <w:numPr>
          <w:ilvl w:val="0"/>
          <w:numId w:val="9"/>
        </w:numPr>
      </w:pPr>
      <w:r>
        <w:rPr/>
        <w:t xml:space="preserve">Liste des usines </w:t>
      </w:r>
    </w:p>
    <w:p>
      <w:pPr>
        <w:pPr/>
        <w:numPr>
          <w:ilvl w:val="0"/>
          <w:numId w:val="9"/>
        </w:numPr>
      </w:pPr>
      <w:r>
        <w:rPr/>
        <w:t xml:space="preserve">Liste des éléments produits dans chaque usine</w:t>
      </w:r>
    </w:p>
    <w:p>
      <w:pPr>
        <w:pPr/>
        <w:numPr>
          <w:ilvl w:val="0"/>
          <w:numId w:val="9"/>
        </w:numPr>
      </w:pPr>
      <w:r>
        <w:rPr/>
        <w:t xml:space="preserve">Description du processus de fabrication</w:t>
      </w:r>
    </w:p>
    <w:p>
      <w:pPr>
        <w:pPr/>
        <w:numPr>
          <w:ilvl w:val="0"/>
          <w:numId w:val="9"/>
        </w:numPr>
      </w:pPr>
      <w:r>
        <w:rPr/>
        <w:t xml:space="preserve">Tolérances de fabrication</w:t>
      </w:r>
    </w:p>
    <w:p>
      <w:pPr>
        <w:pPr/>
        <w:numPr>
          <w:ilvl w:val="0"/>
          <w:numId w:val="9"/>
        </w:numPr>
      </w:pPr>
      <w:r>
        <w:rPr/>
        <w:t xml:space="preserve">Nature et fréquence des contrôles de production</w:t>
      </w:r>
    </w:p>
    <w:p>
      <w:pPr>
        <w:pPr/>
        <w:numPr>
          <w:ilvl w:val="0"/>
          <w:numId w:val="9"/>
        </w:numPr>
      </w:pPr>
      <w:r>
        <w:rPr/>
        <w:t xml:space="preserve">Description du marquage apposé sur les éléments</w:t>
      </w:r>
    </w:p>
    <w:p>
      <w:pPr>
        <w:pPr/>
        <w:numPr>
          <w:ilvl w:val="0"/>
          <w:numId w:val="9"/>
        </w:numPr>
      </w:pPr>
      <w:r>
        <w:rPr/>
        <w:t xml:space="preserve">Certification tierce partie</w:t>
      </w:r>
    </w:p>
    <w:p>
      <w:pPr>
        <w:pPr/>
        <w:numPr>
          <w:ilvl w:val="0"/>
          <w:numId w:val="9"/>
        </w:numPr>
      </w:pPr>
      <w:r>
        <w:rPr/>
        <w:t xml:space="preserve">Conditionnement</w:t>
      </w:r>
    </w:p>
    <w:p>
      <w:pPr>
        <w:ind w:left="720" w:right="0"/>
      </w:pPr>
      <w:r>
        <w:rPr>
          <w:rStyle w:val="font_h2"/>
        </w:rPr>
        <w:t xml:space="preserve">1.5. Contrôles de fabrication</w:t>
      </w:r>
    </w:p>
    <w:p>
      <w:pPr>
        <w:ind w:left="1440" w:right="0"/>
      </w:pPr>
      <w:r>
        <w:rPr>
          <w:rStyle w:val="font_h3"/>
        </w:rPr>
        <w:t xml:space="preserve">1.5.1. Suivi externe de la qualité de la production</w:t>
      </w:r>
    </w:p>
    <w:p>
      <w:pPr/>
      <w:r>
        <w:rPr/>
        <w:t xml:space="preserve">Validé par le Groupe Spécialisé le 27/11/2018</w:t>
      </w:r>
    </w:p>
    <w:p>
      <w:pPr/>
      <w:r>
        <w:rPr>
          <w:b/>
          <w:bCs/>
        </w:rPr>
        <w:t xml:space="preserve">Description</w:t>
      </w:r>
    </w:p>
    <w:p>
      <w:pPr/>
      <w:r>
        <w:rPr/>
        <w:t xml:space="preserve">Le système de contrôle de la qualité de la production doit être décrit</w:t>
      </w:r>
    </w:p>
    <w:p>
      <w:pPr/>
      <w:r>
        <w:rPr>
          <w:b/>
          <w:bCs/>
        </w:rPr>
        <w:t xml:space="preserve">Justification</w:t>
      </w:r>
    </w:p>
    <w:p>
      <w:pPr>
        <w:pPr/>
        <w:numPr>
          <w:ilvl w:val="0"/>
          <w:numId w:val="10"/>
        </w:numPr>
      </w:pPr>
      <w:r>
        <w:rPr/>
        <w:t xml:space="preserve">Description des contrôles internes réalisés : Décrire les contrôles réalisés sur les matières premières, en cours de fabrication et sur produits finis : point vérifiés, valeurs cibles, tolérances, fréquences de contrôle…</w:t>
      </w:r>
    </w:p>
    <w:p>
      <w:pPr>
        <w:pPr/>
        <w:numPr>
          <w:ilvl w:val="0"/>
          <w:numId w:val="10"/>
        </w:numPr>
      </w:pPr>
      <w:r>
        <w:rPr/>
        <w:t xml:space="preserve">Description des contrôles externes réalisés : Point vérifiés, valeurs cibles, tolérances, fréquences de contrôle…</w:t>
      </w:r>
    </w:p>
    <w:p>
      <w:pPr>
        <w:pPr/>
        <w:numPr>
          <w:ilvl w:val="0"/>
          <w:numId w:val="10"/>
        </w:numPr>
      </w:pPr>
      <w:r>
        <w:rPr/>
        <w:t xml:space="preserve">Fournir le Certificat de suivi par tierce partie (CTB-P+ ou équivalent)</w:t>
      </w:r>
    </w:p>
    <w:p>
      <w:pPr/>
      <w:r>
        <w:rPr>
          <w:b/>
          <w:bCs/>
        </w:rPr>
        <w:t xml:space="preserve">Critères d'évaluation</w:t>
      </w:r>
    </w:p>
    <w:p>
      <w:pPr/>
      <w:r>
        <w:rPr/>
        <w:t xml:space="preserve">Le titulaire doit néanmoins pouvoir justifier qu’il bénéficie d’une évaluation de l’efficacité et d’un suivi de constance de la production équivalents par un organisme tiers (mêmes essais d’admission, même suivi et même fréquence d’audit).</w:t>
      </w:r>
    </w:p>
    <w:p>
      <w:pPr>
        <w:ind w:left="1440" w:right="0"/>
      </w:pPr>
      <w:r>
        <w:rPr>
          <w:rStyle w:val="font_h3"/>
        </w:rPr>
        <w:t xml:space="preserve">1.5.2. Cas particulier les procédés revendiquant également la fonction de barrière anti remontées capillaires :</w:t>
      </w:r>
    </w:p>
    <w:p>
      <w:pPr/>
      <w:r>
        <w:rPr/>
        <w:t xml:space="preserve">Validé par le Groupe Spécialisé le 27/11/2018</w:t>
      </w:r>
    </w:p>
    <w:p>
      <w:pPr/>
      <w:r>
        <w:rPr>
          <w:b/>
          <w:bCs/>
        </w:rPr>
        <w:t xml:space="preserve">Description</w:t>
      </w:r>
    </w:p>
    <w:p>
      <w:pPr/>
      <w:r>
        <w:rPr/>
        <w:t xml:space="preserve">Préciser si le procédé revendique la fonction de barrière anti-capillaire et dans quelle(s) configuration(s)</w:t>
      </w:r>
    </w:p>
    <w:p>
      <w:pPr/>
      <w:r>
        <w:rPr>
          <w:b/>
          <w:bCs/>
        </w:rPr>
        <w:t xml:space="preserve">Justification</w:t>
      </w:r>
    </w:p>
    <w:p>
      <w:pPr/>
      <w:r>
        <w:rPr/>
        <w:t xml:space="preserve">Certificat CE selon la norme NF EN 14909 ou NF EN 13967</w:t>
      </w:r>
    </w:p>
    <w:p>
      <w:pPr/>
      <w:r>
        <w:rPr>
          <w:b/>
          <w:bCs/>
        </w:rPr>
        <w:t xml:space="preserve">Critères d'évaluation</w:t>
      </w:r>
    </w:p>
    <w:p>
      <w:pPr/>
      <w:r>
        <w:rPr/>
        <w:t xml:space="preserve">Pour les barrières physico-chimiques revendiquant la fonction anticapillaire, justifier d’un marquage CE de la barrière selon la norme NF EN 14909 ou NF EN 13967.</w:t>
      </w:r>
    </w:p>
    <w:p>
      <w:pPr>
        <w:ind w:left="720" w:right="0"/>
      </w:pPr>
      <w:r>
        <w:rPr>
          <w:rStyle w:val="font_h2"/>
        </w:rPr>
        <w:t xml:space="preserve">1.6. Fourniture et assistance technique</w:t>
      </w:r>
    </w:p>
    <w:p>
      <w:pPr>
        <w:ind w:left="1440" w:right="0"/>
      </w:pPr>
      <w:r>
        <w:rPr>
          <w:rStyle w:val="font_h3"/>
        </w:rPr>
        <w:t xml:space="preserve">1.6.1. Fourniture</w:t>
      </w:r>
    </w:p>
    <w:p>
      <w:pPr/>
      <w:r>
        <w:rPr/>
        <w:t xml:space="preserve">Validé par le Groupe Spécialisé le 27/11/2018</w:t>
      </w:r>
    </w:p>
    <w:p>
      <w:pPr/>
      <w:r>
        <w:rPr>
          <w:b/>
          <w:bCs/>
        </w:rPr>
        <w:t xml:space="preserve">Description</w:t>
      </w:r>
    </w:p>
    <w:p>
      <w:pPr/>
      <w:r>
        <w:rPr/>
        <w:t xml:space="preserve">Décrire le mode de fourniture.</w:t>
      </w:r>
    </w:p>
    <w:p>
      <w:pPr>
        <w:ind w:left="1440" w:right="0"/>
      </w:pPr>
      <w:r>
        <w:rPr>
          <w:rStyle w:val="font_h3"/>
        </w:rPr>
        <w:t xml:space="preserve">1.6.2. Assistance technique</w:t>
      </w:r>
    </w:p>
    <w:p>
      <w:pPr/>
      <w:r>
        <w:rPr/>
        <w:t xml:space="preserve">Validé par le Groupe Spécialisé le 27/11/2018</w:t>
      </w:r>
    </w:p>
    <w:p>
      <w:pPr/>
      <w:r>
        <w:rPr>
          <w:b/>
          <w:bCs/>
        </w:rPr>
        <w:t xml:space="preserve">Description</w:t>
      </w:r>
    </w:p>
    <w:p>
      <w:pPr/>
      <w:r>
        <w:rPr/>
        <w:t xml:space="preserve">Contenu de l’assistance technique apportée par le titulaire aux utilisateurs du procédé</w:t>
      </w:r>
    </w:p>
    <w:p>
      <w:pPr/>
      <w:r>
        <w:rPr>
          <w:b/>
          <w:bCs/>
        </w:rPr>
        <w:t xml:space="preserve">Justification</w:t>
      </w:r>
    </w:p>
    <w:p>
      <w:pPr>
        <w:pPr/>
        <w:numPr>
          <w:ilvl w:val="0"/>
          <w:numId w:val="11"/>
        </w:numPr>
      </w:pPr>
      <w:r>
        <w:rPr/>
        <w:t xml:space="preserve">Liste des applicateurs agréés à jour</w:t>
      </w:r>
    </w:p>
    <w:p>
      <w:pPr>
        <w:pPr/>
        <w:numPr>
          <w:ilvl w:val="0"/>
          <w:numId w:val="11"/>
        </w:numPr>
      </w:pPr>
      <w:r>
        <w:rPr/>
        <w:t xml:space="preserve">Nature du mode de sélection/qualification des applicateur agréés</w:t>
      </w:r>
    </w:p>
    <w:p>
      <w:pPr>
        <w:ind w:left="720" w:right="0"/>
      </w:pPr>
      <w:r>
        <w:rPr>
          <w:rStyle w:val="font_h2"/>
        </w:rPr>
        <w:t xml:space="preserve">1.7. Mise en œuvre</w:t>
      </w:r>
    </w:p>
    <w:p>
      <w:pPr/>
      <w:r>
        <w:rPr/>
        <w:t xml:space="preserve">Validé par le Groupe Spécialisé le 27/11/2018</w:t>
      </w:r>
    </w:p>
    <w:p>
      <w:pPr/>
      <w:r>
        <w:rPr>
          <w:b/>
          <w:bCs/>
        </w:rPr>
        <w:t xml:space="preserve">Description</w:t>
      </w:r>
    </w:p>
    <w:p>
      <w:pPr/>
      <w:r>
        <w:rPr/>
        <w:t xml:space="preserve">Description « pas à pas »de la mise en œuvre :</w:t>
      </w:r>
    </w:p>
    <w:p>
      <w:pPr>
        <w:pPr/>
        <w:numPr>
          <w:ilvl w:val="0"/>
          <w:numId w:val="12"/>
        </w:numPr>
      </w:pPr>
      <w:r>
        <w:rPr/>
        <w:t xml:space="preserve">Réception des supports : Décrire en détail les critères de réception + mode de vérification des supports.</w:t>
      </w:r>
    </w:p>
    <w:p>
      <w:pPr>
        <w:pPr/>
        <w:numPr>
          <w:ilvl w:val="0"/>
          <w:numId w:val="12"/>
        </w:numPr>
      </w:pPr>
      <w:r>
        <w:rPr/>
        <w:t xml:space="preserve">Pose complète : Décrire en détail le mode de pose complète.</w:t>
      </w:r>
    </w:p>
    <w:p>
      <w:pPr>
        <w:pPr/>
        <w:numPr>
          <w:ilvl w:val="0"/>
          <w:numId w:val="12"/>
        </w:numPr>
      </w:pPr>
      <w:r>
        <w:rPr/>
        <w:t xml:space="preserve">Pose partielle : Décrire en détail le mode de pose partielle.</w:t>
      </w:r>
    </w:p>
    <w:p>
      <w:pPr>
        <w:pPr/>
        <w:numPr>
          <w:ilvl w:val="0"/>
          <w:numId w:val="12"/>
        </w:numPr>
      </w:pPr>
      <w:r>
        <w:rPr/>
        <w:t xml:space="preserve">Traitement des points singuliers : Décrire en détail le mode de traitement des points singuliers.</w:t>
      </w:r>
    </w:p>
    <w:p>
      <w:pPr>
        <w:pPr/>
        <w:numPr>
          <w:ilvl w:val="0"/>
          <w:numId w:val="12"/>
        </w:numPr>
      </w:pPr>
      <w:r>
        <w:rPr/>
        <w:t xml:space="preserve">Zone de recouvrement : Décrire en détail comment est réalisée la jonction entre deux lés de barrière anti-termite.</w:t>
      </w:r>
    </w:p>
    <w:p>
      <w:pPr>
        <w:pPr/>
        <w:numPr>
          <w:ilvl w:val="0"/>
          <w:numId w:val="12"/>
        </w:numPr>
      </w:pPr>
      <w:r>
        <w:rPr/>
        <w:t xml:space="preserve">Principe de la zone d’inspection : Préciser comment est réalisée la zone d’inspection à prévoir – dimensions, positionnement, réalisation…</w:t>
      </w:r>
    </w:p>
    <w:p>
      <w:pPr/>
      <w:r>
        <w:rPr>
          <w:b/>
          <w:bCs/>
        </w:rPr>
        <w:t xml:space="preserve">Justification</w:t>
      </w:r>
    </w:p>
    <w:p>
      <w:pPr>
        <w:pPr/>
        <w:numPr>
          <w:ilvl w:val="0"/>
          <w:numId w:val="13"/>
        </w:numPr>
      </w:pPr>
      <w:r>
        <w:rPr/>
        <w:t xml:space="preserve">Rapport d’essai justifiant la pliabilité/souplesse du film à basse température selon la norme d’essai NF EN 495-5. (concerne les barrières physico-chimiques et physiques lorsque les modalités de mise en œuvre proposées dans le DT imposent des pliages); </w:t>
      </w:r>
    </w:p>
    <w:p>
      <w:pPr>
        <w:pPr/>
        <w:numPr>
          <w:ilvl w:val="0"/>
          <w:numId w:val="13"/>
        </w:numPr>
      </w:pPr>
      <w:r>
        <w:rPr/>
        <w:t xml:space="preserve">Rapport d’essai justifiant la résistance à la déchirure au clou pour une pose verticale selon la norme NF EN 12310-1; </w:t>
      </w:r>
    </w:p>
    <w:p>
      <w:pPr>
        <w:pPr/>
        <w:numPr>
          <w:ilvl w:val="0"/>
          <w:numId w:val="13"/>
        </w:numPr>
      </w:pPr>
      <w:r>
        <w:rPr/>
        <w:t xml:space="preserve">Rapport d’essai justifiant la résistance au cisaillement des joints des barrières selon la norme NF EN 12317-2 ; </w:t>
      </w:r>
    </w:p>
    <w:p>
      <w:pPr>
        <w:pPr/>
        <w:numPr>
          <w:ilvl w:val="0"/>
          <w:numId w:val="13"/>
        </w:numPr>
      </w:pPr>
      <w:r>
        <w:rPr/>
        <w:t xml:space="preserve">Rapport d’essai justifiant la résistance au poinçonnement statique et dynamique de la barrière selon les deux normes d’essai NF EN 12691 et NF EN 12730 Méthode B.</w:t>
      </w:r>
    </w:p>
    <w:p>
      <w:pPr>
        <w:ind w:left="720" w:right="0"/>
      </w:pPr>
      <w:r>
        <w:rPr>
          <w:rStyle w:val="font_h2"/>
        </w:rPr>
        <w:t xml:space="preserve">1.8. Surveillance</w:t>
      </w:r>
    </w:p>
    <w:p>
      <w:pPr/>
      <w:r>
        <w:rPr/>
        <w:t xml:space="preserve">Validé par le Groupe Spécialisé le 27/11/2018</w:t>
      </w:r>
    </w:p>
    <w:p>
      <w:pPr/>
      <w:r>
        <w:rPr>
          <w:b/>
          <w:bCs/>
        </w:rPr>
        <w:t xml:space="preserve">Description</w:t>
      </w:r>
    </w:p>
    <w:p>
      <w:pPr/>
      <w:r>
        <w:rPr/>
        <w:t xml:space="preserve">Préciser les dimensions et la nature de la zone de surveillance à prévoir.Préciser qui effectue la surveillance ainsi que les modalités et la fréquence des contrôles réalisés.</w:t>
      </w:r>
    </w:p>
    <w:p>
      <w:pPr/>
      <w:r>
        <w:rPr>
          <w:b/>
          <w:bCs/>
        </w:rPr>
        <w:t xml:space="preserve">Critères d'évaluation</w:t>
      </w:r>
    </w:p>
    <w:p>
      <w:pPr/>
      <w:r>
        <w:rPr/>
        <w:t xml:space="preserve">Hauteur zone de surveillance supérieure ou égale à 15cm.</w:t>
      </w:r>
    </w:p>
    <w:p>
      <w:pPr>
        <w:ind w:left="720" w:right="0"/>
      </w:pPr>
      <w:r>
        <w:rPr>
          <w:rStyle w:val="font_h2"/>
        </w:rPr>
        <w:t xml:space="preserve">1.9. Parasismique</w:t>
      </w:r>
    </w:p>
    <w:p>
      <w:pPr/>
      <w:r>
        <w:rPr/>
        <w:t xml:space="preserve">Validé par le Groupe Spécialisé le 13/11/2024</w:t>
      </w:r>
    </w:p>
    <w:p>
      <w:pPr/>
      <w:r>
        <w:rPr>
          <w:b/>
          <w:bCs/>
        </w:rPr>
        <w:t xml:space="preserve">Description</w:t>
      </w:r>
    </w:p>
    <w:p>
      <w:pPr/>
      <w:r>
        <w:rPr/>
        <w:t xml:space="preserve">Préciser si les ouvrages nécessitant des dispositions parasismiques au sens de l’arrêté du 22 octobre 2010 modifié sont visés.</w:t>
      </w:r>
      <w:br/>
      <w:r>
        <w:rPr/>
        <w:t xml:space="preserve">Si oui, dans quelle(s) configuration(s) ?</w:t>
      </w:r>
    </w:p>
    <w:p>
      <w:pPr/>
      <w:r>
        <w:rPr>
          <w:b/>
          <w:bCs/>
        </w:rPr>
        <w:t xml:space="preserve">Justification</w:t>
      </w:r>
    </w:p>
    <w:p>
      <w:pPr/>
      <w:r>
        <w:rPr/>
        <w:t xml:space="preserve">Si les ouvrages nécessitant des dispositions parasismiques au sens de l’arrêté du 22 octobre 2010 sont visés, il faut justifier que la présence de la barrière dans le joint de maçonnerie ne perturbe pas le fonctionnement mécanique en cisaillement de celui-ci.</w:t>
      </w:r>
    </w:p>
    <w:p>
      <w:pPr/>
      <w:r>
        <w:rPr/>
        <w:t xml:space="preserve">[ Cette justification peut être apportée par des essais de cisaillement (inspirés du protocole d’essai de la norme NF EN 1052-3) comparatifs avec barrière/sans barrière. Pour chaque configuration, il est préférable de tester trois échantillons minima. ]</w:t>
      </w:r>
    </w:p>
    <w:p>
      <w:pPr/>
      <w:r>
        <w:rPr>
          <w:b/>
          <w:bCs/>
        </w:rPr>
        <w:t xml:space="preserve">Critères d'évaluation</w:t>
      </w:r>
    </w:p>
    <w:p>
      <w:pPr/>
      <w:r>
        <w:rPr/>
        <w:t xml:space="preserve">La valeur de résistance au cisaillement caractéristique obtenue dans le cas joint avec barrière doit être égale à celle obtenue dans le cas joint sans barrière à ±25%.</w:t>
      </w:r>
    </w:p>
    <w:p>
      <w:pPr>
        <w:ind w:left="720" w:right="0"/>
      </w:pPr>
      <w:r>
        <w:rPr>
          <w:rStyle w:val="font_h2"/>
        </w:rPr>
        <w:t xml:space="preserve">1.10. Efficacité du procédé à l’état neuf</w:t>
      </w:r>
    </w:p>
    <w:p>
      <w:pPr/>
      <w:r>
        <w:rPr/>
        <w:t xml:space="preserve">Validé par le Groupe Spécialisé le 27/11/2018</w:t>
      </w:r>
    </w:p>
    <w:p>
      <w:pPr/>
      <w:r>
        <w:rPr>
          <w:b/>
          <w:bCs/>
        </w:rPr>
        <w:t xml:space="preserve">Description</w:t>
      </w:r>
    </w:p>
    <w:p>
      <w:pPr/>
      <w:r>
        <w:rPr/>
        <w:t xml:space="preserve">Citer la référence du rapport d’essai justifiant l’efficacité du procédé à l’état neuf.</w:t>
      </w:r>
    </w:p>
    <w:p>
      <w:pPr/>
      <w:r>
        <w:rPr>
          <w:b/>
          <w:bCs/>
        </w:rPr>
        <w:t xml:space="preserve">Justification</w:t>
      </w:r>
    </w:p>
    <w:p>
      <w:pPr/>
      <w:r>
        <w:rPr/>
        <w:t xml:space="preserve">Rapports d’essai en laboratoire validant la non-pénétration du produit/système par des termites.</w:t>
      </w:r>
    </w:p>
    <w:p>
      <w:pPr/>
      <w:r>
        <w:rPr>
          <w:b/>
          <w:bCs/>
        </w:rPr>
        <w:t xml:space="preserve">Critères d'évaluation</w:t>
      </w:r>
    </w:p>
    <w:p>
      <w:pPr/>
      <w:r>
        <w:rPr/>
        <w:t xml:space="preserve">Comparaison avec dispositifs témoins : pas de pénétration des termites dans les dispositifs avec barrière / pénétration des dispositifs sans barrière</w:t>
      </w:r>
    </w:p>
    <w:p>
      <w:pPr>
        <w:ind w:left="720" w:right="0"/>
      </w:pPr>
      <w:r>
        <w:rPr>
          <w:rStyle w:val="font_h2"/>
        </w:rPr>
        <w:t xml:space="preserve">1.11. Efficacité du procédé après vieillissement artificiel</w:t>
      </w:r>
    </w:p>
    <w:p>
      <w:pPr/>
      <w:r>
        <w:rPr/>
        <w:t xml:space="preserve">Validé par le Groupe Spécialisé le 27/11/2018</w:t>
      </w:r>
    </w:p>
    <w:p>
      <w:pPr/>
      <w:r>
        <w:rPr>
          <w:b/>
          <w:bCs/>
        </w:rPr>
        <w:t xml:space="preserve">Description</w:t>
      </w:r>
    </w:p>
    <w:p>
      <w:pPr/>
      <w:r>
        <w:rPr/>
        <w:t xml:space="preserve">Citer la référence des rapports d’essai justifiant l’efficacité du procédé après vieillissement artificiel.</w:t>
      </w:r>
    </w:p>
    <w:p>
      <w:pPr/>
      <w:r>
        <w:rPr>
          <w:b/>
          <w:bCs/>
        </w:rPr>
        <w:t xml:space="preserve">Justification</w:t>
      </w:r>
    </w:p>
    <w:p>
      <w:pPr>
        <w:pPr/>
        <w:numPr>
          <w:ilvl w:val="0"/>
          <w:numId w:val="14"/>
        </w:numPr>
      </w:pPr>
      <w:r>
        <w:rPr/>
        <w:t xml:space="preserve">Rapport d’essai justifiant l’efficacité anti-termite avec vieillissement par immersion dans l’eau (par exemple essai XP X 41-550 après vieillissement selon protocole d’essai ENV 1250-2 adaptée par FCBA-BIO-E-046/1). </w:t>
      </w:r>
    </w:p>
    <w:p>
      <w:pPr>
        <w:pPr/>
        <w:numPr>
          <w:ilvl w:val="0"/>
          <w:numId w:val="14"/>
        </w:numPr>
      </w:pPr>
      <w:r>
        <w:rPr/>
        <w:t xml:space="preserve">Le cas échéant, justification par essais de la tenue des revêtements extérieurs éventuellement mis en œuvre sur la barrière anti-termite.</w:t>
      </w:r>
    </w:p>
    <w:p>
      <w:pPr>
        <w:pPr/>
        <w:numPr>
          <w:ilvl w:val="0"/>
          <w:numId w:val="14"/>
        </w:numPr>
      </w:pPr>
      <w:r>
        <w:rPr/>
        <w:t xml:space="preserve">Rapport d’essai justifiant l’efficacité de membranes anti-termites exposées aux rayonnements solaires (par exemple essai XP X 41-550 après vieillissement selon protocole d’essai CTBA BIO E-016/3). </w:t>
      </w:r>
    </w:p>
    <w:p>
      <w:pPr>
        <w:pPr/>
        <w:numPr>
          <w:ilvl w:val="0"/>
          <w:numId w:val="14"/>
        </w:numPr>
      </w:pPr>
      <w:r>
        <w:rPr/>
        <w:t xml:space="preserve">Rapport d’essai ou données d’étude justifiant l’efficacité anti-termite d’une barrière anti-termites par l’action d’un milieu alcalin (par exemple essai XP X 41-550 après vieillissement selon protocole d’essai CTBA Bio E-007/2) et acide. </w:t>
      </w:r>
    </w:p>
    <w:p>
      <w:pPr>
        <w:pPr/>
        <w:numPr>
          <w:ilvl w:val="0"/>
          <w:numId w:val="14"/>
        </w:numPr>
      </w:pPr>
      <w:r>
        <w:rPr/>
        <w:t xml:space="preserve">Rapport d’essai justifiant l’usure d’une barrière anti-termites par l’action d’un milieu alcalin (par exemple NF EN 1847 pour les barrières physico-chimique) et acide.</w:t>
      </w:r>
    </w:p>
    <w:p>
      <w:pPr/>
      <w:r>
        <w:rPr>
          <w:b/>
          <w:bCs/>
        </w:rPr>
        <w:t xml:space="preserve">Critères d'évaluation</w:t>
      </w:r>
    </w:p>
    <w:p>
      <w:pPr/>
      <w:r>
        <w:rPr/>
        <w:t xml:space="preserve">Voir critères des normes concernées.</w:t>
      </w:r>
    </w:p>
    <w:p>
      <w:pPr>
        <w:ind w:left="720" w:right="0"/>
      </w:pPr>
      <w:r>
        <w:rPr>
          <w:rStyle w:val="font_h2"/>
        </w:rPr>
        <w:t xml:space="preserve">1.12. Durée minimale d'efficacité</w:t>
      </w:r>
    </w:p>
    <w:p>
      <w:pPr/>
      <w:r>
        <w:rPr/>
        <w:t xml:space="preserve">Validé par le Groupe Spécialisé le 27/11/2018</w:t>
      </w:r>
    </w:p>
    <w:p>
      <w:pPr/>
      <w:r>
        <w:rPr>
          <w:b/>
          <w:bCs/>
        </w:rPr>
        <w:t xml:space="preserve">Description</w:t>
      </w:r>
    </w:p>
    <w:p>
      <w:pPr/>
      <w:r>
        <w:rPr/>
        <w:t xml:space="preserve">Conformément à l’arrêté du 27 juin 2006 relatif à l'application des articles R.112-2 à R.112-4 du CCH - Méthodes de protection - Annexe I : une attestation du fabricant indiquant sa durée minimale d'efficacité en œuvre doit être fournir à l’applicateur du procédé. Si cette durée est inférieure à 10 ans, le constructeur doit en avertir le maître d'ouvrage par écrit.</w:t>
      </w:r>
    </w:p>
    <w:p>
      <w:pPr/>
      <w:r>
        <w:rPr>
          <w:b/>
          <w:bCs/>
        </w:rPr>
        <w:t xml:space="preserve">Justification</w:t>
      </w:r>
    </w:p>
    <w:p>
      <w:pPr/>
      <w:r>
        <w:rPr/>
        <w:t xml:space="preserve">Exemple d’attestation du fabricant indiquant la durée minimale d'efficacité en œuvre de la barrière</w:t>
      </w:r>
    </w:p>
    <w:p>
      <w:pPr>
        <w:ind w:left="720" w:right="0"/>
      </w:pPr>
      <w:r>
        <w:rPr>
          <w:rStyle w:val="font_h2"/>
        </w:rPr>
        <w:t xml:space="preserve">1.13. Références chantier</w:t>
      </w:r>
    </w:p>
    <w:p>
      <w:pPr/>
      <w:r>
        <w:rPr/>
        <w:t xml:space="preserve">Validé par le Groupe Spécialisé le 27/11/2018</w:t>
      </w:r>
    </w:p>
    <w:p>
      <w:pPr/>
      <w:r>
        <w:rPr>
          <w:b/>
          <w:bCs/>
        </w:rPr>
        <w:t xml:space="preserve">Description</w:t>
      </w:r>
    </w:p>
    <w:p>
      <w:pPr/>
      <w:r>
        <w:rPr/>
        <w:t xml:space="preserve">Citer quelques références chantier publiables</w:t>
      </w:r>
    </w:p>
    <w:p>
      <w:pPr/>
      <w:r>
        <w:rPr>
          <w:b/>
          <w:bCs/>
        </w:rPr>
        <w:t xml:space="preserve">Justification</w:t>
      </w:r>
    </w:p>
    <w:p>
      <w:pPr/>
      <w:r>
        <w:rPr/>
        <w:t xml:space="preserve">Références chantier mentionnant la nature de l’ouvrage, le nombre de ml ou de m2 traités, la configuration de pose, la localisation et la date de livraison.</w:t>
      </w:r>
    </w:p>
    <w:p>
      <w:pPr/>
      <w:r>
        <w:rPr>
          <w:b/>
          <w:bCs/>
        </w:rPr>
        <w:t xml:space="preserve">Critères d'évaluation</w:t>
      </w:r>
    </w:p>
    <w:p>
      <w:pPr/>
      <w:r>
        <w:rPr/>
        <w:t xml:space="preserve">Minimum de deux références chantier publiables (dans le cas des révisions, ces références chantier doivent être ultérieures à la date du dernier examen en GS).</w:t>
      </w:r>
    </w:p>
    <w:p>
      <w:pPr>
        <w:ind w:left="720" w:right="0"/>
      </w:pPr>
      <w:r>
        <w:rPr>
          <w:rStyle w:val="font_h2"/>
        </w:rPr>
        <w:t xml:space="preserve">1.14. Traitement en fin de vie</w:t>
      </w:r>
    </w:p>
    <w:p>
      <w:pPr/>
      <w:r>
        <w:rPr>
          <w:rStyle w:val="font_h1"/>
        </w:rPr>
        <w:t xml:space="preserve">2. Barrière physico-chimique</w:t>
      </w:r>
    </w:p>
    <w:p>
      <w:pPr>
        <w:ind w:left="720" w:right="0"/>
      </w:pPr>
      <w:r>
        <w:rPr>
          <w:rStyle w:val="font_h2"/>
        </w:rPr>
        <w:t xml:space="preserve">2.1. Principe</w:t>
      </w:r>
    </w:p>
    <w:p>
      <w:pPr/>
      <w:r>
        <w:rPr/>
        <w:t xml:space="preserve">Validé par le Groupe Spécialisé le 27/11/2018</w:t>
      </w:r>
    </w:p>
    <w:p>
      <w:pPr/>
      <w:r>
        <w:rPr>
          <w:b/>
          <w:bCs/>
        </w:rPr>
        <w:t xml:space="preserve">Description</w:t>
      </w:r>
    </w:p>
    <w:p>
      <w:pPr/>
      <w:r>
        <w:rPr/>
        <w:t xml:space="preserve">Décrire le procédé et sa conception.</w:t>
      </w:r>
    </w:p>
    <w:p>
      <w:pPr>
        <w:ind w:left="720" w:right="0"/>
      </w:pPr>
      <w:r>
        <w:rPr>
          <w:rStyle w:val="font_h2"/>
        </w:rPr>
        <w:t xml:space="preserve">2.2. Domaine d’emploi</w:t>
      </w:r>
    </w:p>
    <w:p>
      <w:pPr/>
      <w:r>
        <w:rPr/>
        <w:t xml:space="preserve">Validé par le Groupe Spécialisé le 22/06/2023</w:t>
      </w:r>
    </w:p>
    <w:p>
      <w:pPr/>
      <w:r>
        <w:rPr>
          <w:b/>
          <w:bCs/>
        </w:rPr>
        <w:t xml:space="preserve">Description</w:t>
      </w:r>
    </w:p>
    <w:p>
      <w:pPr/>
      <w:r>
        <w:rPr/>
        <w:t xml:space="preserve">Indiquer le domaine d’emploi.</w:t>
      </w:r>
    </w:p>
    <w:p>
      <w:pPr/>
      <w:r>
        <w:rPr/>
        <w:t xml:space="preserve">En cas d’utilisation avec les procédés de « Bloc de coffrage isolant », les dispositions à respecter doivent être décrites.</w:t>
      </w:r>
    </w:p>
    <w:p>
      <w:pPr>
        <w:ind w:left="720" w:right="0"/>
      </w:pPr>
      <w:r>
        <w:rPr>
          <w:rStyle w:val="font_h2"/>
        </w:rPr>
        <w:t xml:space="preserve">2.3. Eléments et matériaux</w:t>
      </w:r>
    </w:p>
    <w:p>
      <w:pPr>
        <w:ind w:left="1440" w:right="0"/>
      </w:pPr>
      <w:r>
        <w:rPr>
          <w:rStyle w:val="font_h3"/>
        </w:rPr>
        <w:t xml:space="preserve">2.3.1. Eléments</w:t>
      </w:r>
    </w:p>
    <w:p>
      <w:pPr/>
      <w:r>
        <w:rPr/>
        <w:t xml:space="preserve">Validé par le Groupe Spécialisé le 27/11/2018</w:t>
      </w:r>
    </w:p>
    <w:p>
      <w:pPr/>
      <w:r>
        <w:rPr>
          <w:b/>
          <w:bCs/>
        </w:rPr>
        <w:t xml:space="preserve">Description</w:t>
      </w:r>
    </w:p>
    <w:p>
      <w:pPr/>
      <w:r>
        <w:rPr/>
        <w:t xml:space="preserve">Décrire les différents éléments de la gamme (nature, aspect, dimensions, matière active…) ainsi que les accessoires utilisés (nature, aspect, dimensions, matière active…).</w:t>
      </w:r>
    </w:p>
    <w:p>
      <w:pPr>
        <w:ind w:left="1440" w:right="0"/>
      </w:pPr>
      <w:r>
        <w:rPr>
          <w:rStyle w:val="font_h3"/>
        </w:rPr>
        <w:t xml:space="preserve">2.3.2. Matériaux</w:t>
      </w:r>
    </w:p>
    <w:p>
      <w:pPr/>
      <w:r>
        <w:rPr/>
        <w:t xml:space="preserve">Validé par le Groupe Spécialisé le 27/11/2018</w:t>
      </w:r>
    </w:p>
    <w:p>
      <w:pPr/>
      <w:r>
        <w:rPr>
          <w:b/>
          <w:bCs/>
        </w:rPr>
        <w:t xml:space="preserve">Description</w:t>
      </w:r>
    </w:p>
    <w:p>
      <w:pPr/>
      <w:r>
        <w:rPr/>
        <w:t xml:space="preserve">Décrire les matériaux constitutifs des éléments de la gamme (résine, métal, film plastique…) et des accessoires.</w:t>
      </w:r>
    </w:p>
    <w:p>
      <w:pPr>
        <w:ind w:left="1440" w:right="0"/>
      </w:pPr>
      <w:r>
        <w:rPr>
          <w:rStyle w:val="font_h3"/>
        </w:rPr>
        <w:t xml:space="preserve">2.3.3. Biocide</w:t>
      </w:r>
    </w:p>
    <w:p>
      <w:pPr/>
      <w:r>
        <w:rPr/>
        <w:t xml:space="preserve">Validé par le Groupe Spécialisé le 27/11/2018</w:t>
      </w:r>
    </w:p>
    <w:p>
      <w:pPr/>
      <w:r>
        <w:rPr>
          <w:b/>
          <w:bCs/>
        </w:rPr>
        <w:t xml:space="preserve">Description</w:t>
      </w:r>
    </w:p>
    <w:p>
      <w:pPr/>
      <w:r>
        <w:rPr/>
        <w:t xml:space="preserve">Nature du biocide utilisé, concentration, N°AMM. Si plusieurs biocides sont utilisés pour la gamme et/ou les accessoires, ils doivent tous être détaillés.</w:t>
      </w:r>
    </w:p>
    <w:p>
      <w:pPr/>
      <w:r>
        <w:rPr>
          <w:b/>
          <w:bCs/>
        </w:rPr>
        <w:t xml:space="preserve">Justification</w:t>
      </w:r>
    </w:p>
    <w:p>
      <w:pPr/>
      <w:r>
        <w:rPr/>
        <w:t xml:space="preserve">Document de décision d’AMMouDocument d’autorisation provisoire en attente d’AMM</w:t>
      </w:r>
    </w:p>
    <w:p>
      <w:pPr/>
      <w:r>
        <w:rPr>
          <w:b/>
          <w:bCs/>
        </w:rPr>
        <w:t xml:space="preserve">Critères d'évaluation</w:t>
      </w:r>
    </w:p>
    <w:p>
      <w:pPr>
        <w:pPr/>
        <w:numPr>
          <w:ilvl w:val="0"/>
          <w:numId w:val="15"/>
        </w:numPr>
      </w:pPr>
      <w:r>
        <w:rPr/>
        <w:t xml:space="preserve">Date de début et de fin de validité de l’AMM (ou de l’autorisation provisoire en attente d’AMM) compatible avec la durée de validité de l’Avis Technique</w:t>
      </w:r>
    </w:p>
    <w:p>
      <w:pPr>
        <w:pPr/>
        <w:numPr>
          <w:ilvl w:val="0"/>
          <w:numId w:val="15"/>
        </w:numPr>
      </w:pPr>
      <w:r>
        <w:rPr/>
        <w:t xml:space="preserve">Compatibilité des conditions de validité de l’AMM avec le mode d’utilisation (exemple : exclusion d’utilisation en conditions humides)</w:t>
      </w:r>
    </w:p>
    <w:p>
      <w:pPr>
        <w:pPr/>
        <w:numPr>
          <w:ilvl w:val="0"/>
          <w:numId w:val="15"/>
        </w:numPr>
      </w:pPr>
      <w:r>
        <w:rPr/>
        <w:t xml:space="preserve">Vérifier que l’AMM est disponible sur la plate-forme SIMMBAD.</w:t>
      </w:r>
    </w:p>
    <w:p>
      <w:pPr>
        <w:ind w:left="720" w:right="0"/>
      </w:pPr>
      <w:r>
        <w:rPr>
          <w:rStyle w:val="font_h2"/>
        </w:rPr>
        <w:t xml:space="preserve">2.4. Fabrication</w:t>
      </w:r>
    </w:p>
    <w:p>
      <w:pPr/>
      <w:r>
        <w:rPr/>
        <w:t xml:space="preserve">Validé par le Groupe Spécialisé le 27/11/2018</w:t>
      </w:r>
    </w:p>
    <w:p>
      <w:pPr/>
      <w:r>
        <w:rPr>
          <w:b/>
          <w:bCs/>
        </w:rPr>
        <w:t xml:space="preserve">Description</w:t>
      </w:r>
    </w:p>
    <w:p>
      <w:pPr/>
      <w:r>
        <w:rPr/>
        <w:t xml:space="preserve">La méthodologie de fabrication des produits constitutifs doit être détaillée.</w:t>
      </w:r>
    </w:p>
    <w:p>
      <w:pPr/>
      <w:r>
        <w:rPr>
          <w:b/>
          <w:bCs/>
        </w:rPr>
        <w:t xml:space="preserve">Justification</w:t>
      </w:r>
    </w:p>
    <w:p>
      <w:pPr/>
      <w:r>
        <w:rPr/>
        <w:t xml:space="preserve">Les points suivants doivent être indiqués dans le Dossier Technique :</w:t>
      </w:r>
    </w:p>
    <w:p>
      <w:pPr>
        <w:pPr/>
        <w:numPr>
          <w:ilvl w:val="0"/>
          <w:numId w:val="16"/>
        </w:numPr>
      </w:pPr>
      <w:r>
        <w:rPr/>
        <w:t xml:space="preserve">Liste des usines </w:t>
      </w:r>
    </w:p>
    <w:p>
      <w:pPr>
        <w:pPr/>
        <w:numPr>
          <w:ilvl w:val="0"/>
          <w:numId w:val="16"/>
        </w:numPr>
      </w:pPr>
      <w:r>
        <w:rPr/>
        <w:t xml:space="preserve">Liste des éléments produits dans chaque usine</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Description du marquage apposé sur les éléments</w:t>
      </w:r>
    </w:p>
    <w:p>
      <w:pPr>
        <w:pPr/>
        <w:numPr>
          <w:ilvl w:val="0"/>
          <w:numId w:val="16"/>
        </w:numPr>
      </w:pPr>
      <w:r>
        <w:rPr/>
        <w:t xml:space="preserve">Certification tierce partie</w:t>
      </w:r>
    </w:p>
    <w:p>
      <w:pPr>
        <w:pPr/>
        <w:numPr>
          <w:ilvl w:val="0"/>
          <w:numId w:val="16"/>
        </w:numPr>
      </w:pPr>
      <w:r>
        <w:rPr/>
        <w:t xml:space="preserve">Conditionnement</w:t>
      </w:r>
    </w:p>
    <w:p>
      <w:pPr>
        <w:ind w:left="720" w:right="0"/>
      </w:pPr>
      <w:r>
        <w:rPr>
          <w:rStyle w:val="font_h2"/>
        </w:rPr>
        <w:t xml:space="preserve">2.5. Contrôles de fabrication</w:t>
      </w:r>
    </w:p>
    <w:p>
      <w:pPr>
        <w:ind w:left="1440" w:right="0"/>
      </w:pPr>
      <w:r>
        <w:rPr>
          <w:rStyle w:val="font_h3"/>
        </w:rPr>
        <w:t xml:space="preserve">2.5.1. Suivi externe de la qualité de la production</w:t>
      </w:r>
    </w:p>
    <w:p>
      <w:pPr/>
      <w:r>
        <w:rPr/>
        <w:t xml:space="preserve">Validé par le Groupe Spécialisé le 27/11/2018</w:t>
      </w:r>
    </w:p>
    <w:p>
      <w:pPr/>
      <w:r>
        <w:rPr>
          <w:b/>
          <w:bCs/>
        </w:rPr>
        <w:t xml:space="preserve">Description</w:t>
      </w:r>
    </w:p>
    <w:p>
      <w:pPr/>
      <w:r>
        <w:rPr/>
        <w:t xml:space="preserve">Le système de contrôle de la qualité de la production doit être décrit</w:t>
      </w:r>
    </w:p>
    <w:p>
      <w:pPr/>
      <w:r>
        <w:rPr>
          <w:b/>
          <w:bCs/>
        </w:rPr>
        <w:t xml:space="preserve">Justification</w:t>
      </w:r>
    </w:p>
    <w:p>
      <w:pPr>
        <w:pPr/>
        <w:numPr>
          <w:ilvl w:val="0"/>
          <w:numId w:val="17"/>
        </w:numPr>
      </w:pPr>
      <w:r>
        <w:rPr/>
        <w:t xml:space="preserve">Description des contrôles internes réalisés : Décrire les contrôles réalisés sur les matières premières, en cours de fabrication et sur produits finis : point vérifiés, valeurs cibles, tolérances, fréquences de contrôle…</w:t>
      </w:r>
    </w:p>
    <w:p>
      <w:pPr>
        <w:pPr/>
        <w:numPr>
          <w:ilvl w:val="0"/>
          <w:numId w:val="17"/>
        </w:numPr>
      </w:pPr>
      <w:r>
        <w:rPr/>
        <w:t xml:space="preserve">Description des contrôles externes réalisés : Point vérifiés, valeurs cibles, tolérances, fréquences de contrôle…</w:t>
      </w:r>
    </w:p>
    <w:p>
      <w:pPr>
        <w:pPr/>
        <w:numPr>
          <w:ilvl w:val="0"/>
          <w:numId w:val="17"/>
        </w:numPr>
      </w:pPr>
      <w:r>
        <w:rPr/>
        <w:t xml:space="preserve">Fournir le Certificat de suivi par tierce partie (CTB-P+ ou équivalent)</w:t>
      </w:r>
    </w:p>
    <w:p>
      <w:pPr/>
      <w:r>
        <w:rPr>
          <w:b/>
          <w:bCs/>
        </w:rPr>
        <w:t xml:space="preserve">Critères d'évaluation</w:t>
      </w:r>
    </w:p>
    <w:p>
      <w:pPr/>
      <w:r>
        <w:rPr/>
        <w:t xml:space="preserve">Le titulaire doit néanmoins pouvoir justifier qu’il bénéficie d’une évaluation de l’efficacité et d’un suivi de constance de la production équivalents par un organisme tiers (mêmes essais d’admission, même suivi et même fréquence d’audit).</w:t>
      </w:r>
    </w:p>
    <w:p>
      <w:pPr>
        <w:ind w:left="1440" w:right="0"/>
      </w:pPr>
      <w:r>
        <w:rPr>
          <w:rStyle w:val="font_h3"/>
        </w:rPr>
        <w:t xml:space="preserve">2.5.2. Cas particulier les procédés revendiquant également la fonction de barrière anti remontées capillaires</w:t>
      </w:r>
    </w:p>
    <w:p>
      <w:pPr/>
      <w:r>
        <w:rPr/>
        <w:t xml:space="preserve">Validé par le Groupe Spécialisé le 27/11/2018</w:t>
      </w:r>
    </w:p>
    <w:p>
      <w:pPr/>
      <w:r>
        <w:rPr>
          <w:b/>
          <w:bCs/>
        </w:rPr>
        <w:t xml:space="preserve">Description</w:t>
      </w:r>
    </w:p>
    <w:p>
      <w:pPr/>
      <w:r>
        <w:rPr/>
        <w:t xml:space="preserve">Préciser si le procédé revendique la fonction de barrière anti-capillaire et dans quelle(s) configuration(s)</w:t>
      </w:r>
    </w:p>
    <w:p>
      <w:pPr/>
      <w:r>
        <w:rPr>
          <w:b/>
          <w:bCs/>
        </w:rPr>
        <w:t xml:space="preserve">Justification</w:t>
      </w:r>
    </w:p>
    <w:p>
      <w:pPr/>
      <w:r>
        <w:rPr/>
        <w:t xml:space="preserve">Certificat CE selon la norme NF EN 14909 ou NF EN 13967</w:t>
      </w:r>
    </w:p>
    <w:p>
      <w:pPr/>
      <w:r>
        <w:rPr>
          <w:b/>
          <w:bCs/>
        </w:rPr>
        <w:t xml:space="preserve">Critères d'évaluation</w:t>
      </w:r>
    </w:p>
    <w:p>
      <w:pPr/>
      <w:r>
        <w:rPr/>
        <w:t xml:space="preserve">Pour les barrières physico-chimiques revendiquant la fonction anticapillaire, justifier d’un marquage CE de la barrière selon la norme NF EN 14909 ou NF EN 13967.</w:t>
      </w:r>
    </w:p>
    <w:p>
      <w:pPr>
        <w:ind w:left="720" w:right="0"/>
      </w:pPr>
      <w:r>
        <w:rPr>
          <w:rStyle w:val="font_h2"/>
        </w:rPr>
        <w:t xml:space="preserve">2.6. Fourniture et assistance technique</w:t>
      </w:r>
    </w:p>
    <w:p>
      <w:pPr>
        <w:ind w:left="1440" w:right="0"/>
      </w:pPr>
      <w:r>
        <w:rPr>
          <w:rStyle w:val="font_h3"/>
        </w:rPr>
        <w:t xml:space="preserve">2.6.1. Fourniture</w:t>
      </w:r>
    </w:p>
    <w:p>
      <w:pPr/>
      <w:r>
        <w:rPr/>
        <w:t xml:space="preserve">Validé par le Groupe Spécialisé le 27/11/2018</w:t>
      </w:r>
    </w:p>
    <w:p>
      <w:pPr/>
      <w:r>
        <w:rPr>
          <w:b/>
          <w:bCs/>
        </w:rPr>
        <w:t xml:space="preserve">Description</w:t>
      </w:r>
    </w:p>
    <w:p>
      <w:pPr/>
      <w:r>
        <w:rPr/>
        <w:t xml:space="preserve">Décrire le mode de fourniture. Préciser que les vendeurs et les applicateurs de procédés contenant du biocide sont certifiés Certiphyto, conformément à l’arrêté du 9 octobre 2013.</w:t>
      </w:r>
    </w:p>
    <w:p>
      <w:pPr/>
      <w:r>
        <w:rPr>
          <w:b/>
          <w:bCs/>
        </w:rPr>
        <w:t xml:space="preserve">Justification</w:t>
      </w:r>
    </w:p>
    <w:p>
      <w:pPr/>
      <w:r>
        <w:rPr/>
        <w:t xml:space="preserve">Certificat Certiphyto du distributeur</w:t>
      </w:r>
    </w:p>
    <w:p>
      <w:pPr>
        <w:ind w:left="1440" w:right="0"/>
      </w:pPr>
      <w:r>
        <w:rPr>
          <w:rStyle w:val="font_h3"/>
        </w:rPr>
        <w:t xml:space="preserve">2.6.2. Assistance technique</w:t>
      </w:r>
    </w:p>
    <w:p>
      <w:pPr/>
      <w:r>
        <w:rPr/>
        <w:t xml:space="preserve">Validé par le Groupe Spécialisé le 27/11/2018</w:t>
      </w:r>
    </w:p>
    <w:p>
      <w:pPr/>
      <w:r>
        <w:rPr>
          <w:b/>
          <w:bCs/>
        </w:rPr>
        <w:t xml:space="preserve">Description</w:t>
      </w:r>
    </w:p>
    <w:p>
      <w:pPr/>
      <w:r>
        <w:rPr/>
        <w:t xml:space="preserve">Contenu de l’assistance technique apportée par le titulaire aux utilisateurs du procédé</w:t>
      </w:r>
    </w:p>
    <w:p>
      <w:pPr/>
      <w:r>
        <w:rPr>
          <w:b/>
          <w:bCs/>
        </w:rPr>
        <w:t xml:space="preserve">Justification</w:t>
      </w:r>
    </w:p>
    <w:p>
      <w:pPr>
        <w:pPr/>
        <w:numPr>
          <w:ilvl w:val="0"/>
          <w:numId w:val="18"/>
        </w:numPr>
      </w:pPr>
      <w:r>
        <w:rPr/>
        <w:t xml:space="preserve">Liste des applicateurs agréés à jour</w:t>
      </w:r>
    </w:p>
    <w:p>
      <w:pPr>
        <w:pPr/>
        <w:numPr>
          <w:ilvl w:val="0"/>
          <w:numId w:val="18"/>
        </w:numPr>
      </w:pPr>
      <w:r>
        <w:rPr/>
        <w:t xml:space="preserve">Nature du mode de sélection/qualification des applicateur agréés</w:t>
      </w:r>
    </w:p>
    <w:p>
      <w:pPr>
        <w:ind w:left="720" w:right="0"/>
      </w:pPr>
      <w:r>
        <w:rPr>
          <w:rStyle w:val="font_h2"/>
        </w:rPr>
        <w:t xml:space="preserve">2.7. Mise en œuvre</w:t>
      </w:r>
    </w:p>
    <w:p>
      <w:pPr/>
      <w:r>
        <w:rPr/>
        <w:t xml:space="preserve">Validé par le Groupe Spécialisé le 27/11/2018</w:t>
      </w:r>
    </w:p>
    <w:p>
      <w:pPr/>
      <w:r>
        <w:rPr>
          <w:b/>
          <w:bCs/>
        </w:rPr>
        <w:t xml:space="preserve">Description</w:t>
      </w:r>
    </w:p>
    <w:p>
      <w:pPr/>
      <w:r>
        <w:rPr/>
        <w:t xml:space="preserve">Description « pas à pas »de la mise en œuvre :</w:t>
      </w:r>
    </w:p>
    <w:p>
      <w:pPr>
        <w:pPr/>
        <w:numPr>
          <w:ilvl w:val="0"/>
          <w:numId w:val="19"/>
        </w:numPr>
      </w:pPr>
      <w:r>
        <w:rPr/>
        <w:t xml:space="preserve">Réception des supports : Décrire en détail les critères de réception + mode de vérification des supports.</w:t>
      </w:r>
    </w:p>
    <w:p>
      <w:pPr>
        <w:pPr/>
        <w:numPr>
          <w:ilvl w:val="0"/>
          <w:numId w:val="19"/>
        </w:numPr>
      </w:pPr>
      <w:r>
        <w:rPr/>
        <w:t xml:space="preserve">Pose complète : Décrire en détail le mode de pose complète.</w:t>
      </w:r>
    </w:p>
    <w:p>
      <w:pPr>
        <w:pPr/>
        <w:numPr>
          <w:ilvl w:val="0"/>
          <w:numId w:val="19"/>
        </w:numPr>
      </w:pPr>
      <w:r>
        <w:rPr/>
        <w:t xml:space="preserve">Pose partielle : Décrire en détail le mode de pose partielle.</w:t>
      </w:r>
    </w:p>
    <w:p>
      <w:pPr>
        <w:pPr/>
        <w:numPr>
          <w:ilvl w:val="0"/>
          <w:numId w:val="19"/>
        </w:numPr>
      </w:pPr>
      <w:r>
        <w:rPr/>
        <w:t xml:space="preserve">Traitement des points singuliers : Décrire en détail le mode de traitement des points singuliers.</w:t>
      </w:r>
    </w:p>
    <w:p>
      <w:pPr>
        <w:pPr/>
        <w:numPr>
          <w:ilvl w:val="0"/>
          <w:numId w:val="19"/>
        </w:numPr>
      </w:pPr>
      <w:r>
        <w:rPr/>
        <w:t xml:space="preserve">Zone de recouvrement : Décrire en détail comment est réalisée la jonction entre deux lés de barrière anti-termite.</w:t>
      </w:r>
    </w:p>
    <w:p>
      <w:pPr>
        <w:pPr/>
        <w:numPr>
          <w:ilvl w:val="0"/>
          <w:numId w:val="19"/>
        </w:numPr>
      </w:pPr>
      <w:r>
        <w:rPr/>
        <w:t xml:space="preserve">Principe de la zone d’inspection : Préciser comment est réalisée la zone d’inspection à prévoir – dimensions, positionnement, réalisation…</w:t>
      </w:r>
    </w:p>
    <w:p>
      <w:pPr/>
      <w:r>
        <w:rPr>
          <w:b/>
          <w:bCs/>
        </w:rPr>
        <w:t xml:space="preserve">Justification</w:t>
      </w:r>
    </w:p>
    <w:p>
      <w:pPr>
        <w:pPr/>
        <w:numPr>
          <w:ilvl w:val="0"/>
          <w:numId w:val="20"/>
        </w:numPr>
      </w:pPr>
      <w:r>
        <w:rPr/>
        <w:t xml:space="preserve">Rapport d’essai ou données d’étude justifiant la stabilité chimique de la substance biocide aux hautes températures (40°C) et températures négatives (concerne les barrières physico-chimiques) ;</w:t>
      </w:r>
    </w:p>
    <w:p>
      <w:pPr>
        <w:pPr/>
        <w:numPr>
          <w:ilvl w:val="0"/>
          <w:numId w:val="20"/>
        </w:numPr>
      </w:pPr>
      <w:r>
        <w:rPr/>
        <w:t xml:space="preserve">Justification du risque éco-toxicologique et toxicologique des matières actives ; </w:t>
      </w:r>
    </w:p>
    <w:p>
      <w:pPr>
        <w:pPr/>
        <w:numPr>
          <w:ilvl w:val="0"/>
          <w:numId w:val="20"/>
        </w:numPr>
      </w:pPr>
      <w:r>
        <w:rPr/>
        <w:t xml:space="preserve">Description des protections des applicateurs vis à vis des matières actives employées ; </w:t>
      </w:r>
    </w:p>
    <w:p>
      <w:pPr>
        <w:pPr/>
        <w:numPr>
          <w:ilvl w:val="0"/>
          <w:numId w:val="20"/>
        </w:numPr>
      </w:pPr>
      <w:r>
        <w:rPr/>
        <w:t xml:space="preserve">Rapport d’essai justifiant la pliabilité/souplesse du film à basse température selon la norme d’essai NF EN 495-5. (concerne les barrières physico-chimiques et physiques lorsque les modalités de mise en œuvre proposées dans le DT imposent des pliages); </w:t>
      </w:r>
    </w:p>
    <w:p>
      <w:pPr>
        <w:pPr/>
        <w:numPr>
          <w:ilvl w:val="0"/>
          <w:numId w:val="20"/>
        </w:numPr>
      </w:pPr>
      <w:r>
        <w:rPr/>
        <w:t xml:space="preserve">Rapport d’essai justifiant la résistance à la déchirure au clou pour une pose verticale selon la norme NF EN 12310-1; </w:t>
      </w:r>
    </w:p>
    <w:p>
      <w:pPr>
        <w:pPr/>
        <w:numPr>
          <w:ilvl w:val="0"/>
          <w:numId w:val="20"/>
        </w:numPr>
      </w:pPr>
      <w:r>
        <w:rPr/>
        <w:t xml:space="preserve">Rapport d’essai justifiant la résistance au cisaillement des joints des barrières selon la norme NF EN 12317-2 ; </w:t>
      </w:r>
    </w:p>
    <w:p>
      <w:pPr>
        <w:pPr/>
        <w:numPr>
          <w:ilvl w:val="0"/>
          <w:numId w:val="20"/>
        </w:numPr>
      </w:pPr>
      <w:r>
        <w:rPr/>
        <w:t xml:space="preserve">Rapport d’essai justifiant la résistance au poinçonnement statique et dynamique de la barrière selon les deux normes d’essai NF EN 12691 et NF EN 12730 Méthode B.</w:t>
      </w:r>
    </w:p>
    <w:p>
      <w:pPr>
        <w:ind w:left="720" w:right="0"/>
      </w:pPr>
      <w:r>
        <w:rPr>
          <w:rStyle w:val="font_h2"/>
        </w:rPr>
        <w:t xml:space="preserve">2.8. Surveillance</w:t>
      </w:r>
    </w:p>
    <w:p>
      <w:pPr/>
      <w:r>
        <w:rPr/>
        <w:t xml:space="preserve">Validé par le Groupe Spécialisé le 27/11/2018</w:t>
      </w:r>
    </w:p>
    <w:p>
      <w:pPr/>
      <w:r>
        <w:rPr>
          <w:b/>
          <w:bCs/>
        </w:rPr>
        <w:t xml:space="preserve">Description</w:t>
      </w:r>
    </w:p>
    <w:p>
      <w:pPr/>
      <w:r>
        <w:rPr/>
        <w:t xml:space="preserve">Préciser les dimensions et la nature de la zone de surveillance à prévoir.Préciser qui effectue la surveillance ainsi que les modalités et la fréquence des contrôles réalisés.</w:t>
      </w:r>
    </w:p>
    <w:p>
      <w:pPr/>
      <w:r>
        <w:rPr>
          <w:b/>
          <w:bCs/>
        </w:rPr>
        <w:t xml:space="preserve">Critères d'évaluation</w:t>
      </w:r>
    </w:p>
    <w:p>
      <w:pPr/>
      <w:r>
        <w:rPr/>
        <w:t xml:space="preserve">Hauteur zone de surveillance supérieure ou égale à 15cm.</w:t>
      </w:r>
    </w:p>
    <w:p>
      <w:pPr>
        <w:ind w:left="720" w:right="0"/>
      </w:pPr>
      <w:r>
        <w:rPr>
          <w:rStyle w:val="font_h2"/>
        </w:rPr>
        <w:t xml:space="preserve">2.9. Parasismique</w:t>
      </w:r>
    </w:p>
    <w:p>
      <w:pPr>
        <w:ind w:left="720" w:right="0"/>
      </w:pPr>
      <w:r>
        <w:rPr>
          <w:rStyle w:val="font_h2"/>
        </w:rPr>
        <w:t xml:space="preserve">2.10. Efficacité du procédé à l’état neuf</w:t>
      </w:r>
    </w:p>
    <w:p>
      <w:pPr/>
      <w:r>
        <w:rPr/>
        <w:t xml:space="preserve">Validé par le Groupe Spécialisé le 27/11/2018</w:t>
      </w:r>
    </w:p>
    <w:p>
      <w:pPr/>
      <w:r>
        <w:rPr>
          <w:b/>
          <w:bCs/>
        </w:rPr>
        <w:t xml:space="preserve">Description</w:t>
      </w:r>
    </w:p>
    <w:p>
      <w:pPr/>
      <w:r>
        <w:rPr/>
        <w:t xml:space="preserve">Citer la référence du rapport d’essai justifiant l’efficacité du procédé à l’état neuf.</w:t>
      </w:r>
    </w:p>
    <w:p>
      <w:pPr/>
      <w:r>
        <w:rPr>
          <w:b/>
          <w:bCs/>
        </w:rPr>
        <w:t xml:space="preserve">Justification</w:t>
      </w:r>
    </w:p>
    <w:p>
      <w:pPr/>
      <w:r>
        <w:rPr/>
        <w:t xml:space="preserve">Rapports d’essai en laboratoire validant l’aspect létal et/ou répulsif des barrières physico-chimiques s’opposant à la pénétration du produit/système par des termites suivant XP X 41-550.</w:t>
      </w:r>
    </w:p>
    <w:p>
      <w:pPr/>
      <w:r>
        <w:rPr>
          <w:b/>
          <w:bCs/>
        </w:rPr>
        <w:t xml:space="preserve">Critères d'évaluation</w:t>
      </w:r>
    </w:p>
    <w:p>
      <w:pPr/>
      <w:r>
        <w:rPr/>
        <w:t xml:space="preserve">Comparaison avec dispositifs témoins : pas de pénétration des termites dans les dispositifs avec barrière / pénétration des dispositifs sans barrière</w:t>
      </w:r>
    </w:p>
    <w:p>
      <w:pPr>
        <w:ind w:left="720" w:right="0"/>
      </w:pPr>
      <w:r>
        <w:rPr>
          <w:rStyle w:val="font_h2"/>
        </w:rPr>
        <w:t xml:space="preserve">2.11. Efficacité du procédé après vieillissement artificiel</w:t>
      </w:r>
    </w:p>
    <w:p>
      <w:pPr/>
      <w:r>
        <w:rPr/>
        <w:t xml:space="preserve">Validé par le Groupe Spécialisé le 27/11/2018</w:t>
      </w:r>
    </w:p>
    <w:p>
      <w:pPr/>
      <w:r>
        <w:rPr>
          <w:b/>
          <w:bCs/>
        </w:rPr>
        <w:t xml:space="preserve">Description</w:t>
      </w:r>
    </w:p>
    <w:p>
      <w:pPr/>
      <w:r>
        <w:rPr/>
        <w:t xml:space="preserve">Citer la référence des rapports d’essai justifiant l’efficacité du procédé après vieillissement artificiel.</w:t>
      </w:r>
    </w:p>
    <w:p>
      <w:pPr/>
      <w:r>
        <w:rPr>
          <w:b/>
          <w:bCs/>
        </w:rPr>
        <w:t xml:space="preserve">Justification</w:t>
      </w:r>
    </w:p>
    <w:p>
      <w:pPr>
        <w:pPr/>
        <w:numPr>
          <w:ilvl w:val="0"/>
          <w:numId w:val="21"/>
        </w:numPr>
      </w:pPr>
      <w:r>
        <w:rPr/>
        <w:t xml:space="preserve">Rapport d’essai justifiant l’efficacité anti-termite avec vieillissement par immersion dans l’eau (par exemple essai XP X 41-550 après vieillissement selon protocole d’essai ENV 1250-2 adaptée par FCBA-BIO-E-046/1). </w:t>
      </w:r>
    </w:p>
    <w:p>
      <w:pPr>
        <w:pPr/>
        <w:numPr>
          <w:ilvl w:val="0"/>
          <w:numId w:val="21"/>
        </w:numPr>
      </w:pPr>
      <w:r>
        <w:rPr/>
        <w:t xml:space="preserve">Pour les procédés dont la matière active est incorporée par un processus d’enrobage ou d’encapsulage, ou par trempage, rapport d’essai justifiant l’efficacité anti-termite avec vieillissement par température négative (par exemple essai XP X 41-550 après vieillissement selon protocole d’essai NF EN 495-5. Possibilité de justifier ce point par retour d’expérience terrain. </w:t>
      </w:r>
    </w:p>
    <w:p>
      <w:pPr>
        <w:pPr/>
        <w:numPr>
          <w:ilvl w:val="0"/>
          <w:numId w:val="21"/>
        </w:numPr>
      </w:pPr>
      <w:r>
        <w:rPr/>
        <w:t xml:space="preserve">Le cas échéant, justification par essais de la tenue des revêtements extérieurs éventuellement mis en œuvre sur la barrière anti-termite.</w:t>
      </w:r>
    </w:p>
    <w:p>
      <w:pPr>
        <w:pPr/>
        <w:numPr>
          <w:ilvl w:val="0"/>
          <w:numId w:val="21"/>
        </w:numPr>
      </w:pPr>
      <w:r>
        <w:rPr/>
        <w:t xml:space="preserve">Rapport d’essai justifiant l’efficacité de membranes anti-termites exposées aux rayonnements solaires (par exemple essai XP X 41-550 après vieillissement selon protocole d’essai CTBA BIO E-016/3). </w:t>
      </w:r>
    </w:p>
    <w:p>
      <w:pPr>
        <w:pPr/>
        <w:numPr>
          <w:ilvl w:val="0"/>
          <w:numId w:val="21"/>
        </w:numPr>
      </w:pPr>
      <w:r>
        <w:rPr/>
        <w:t xml:space="preserve">Rapport d’essai ou données d’étude justifiant l’efficacité anti-termite d’une barrière anti-termites par l’action d’un milieu alcalin (par exemple essai XP X 41-550 après vieillissement selon protocole d’essai CTBA Bio E-007/2) et acide. </w:t>
      </w:r>
    </w:p>
    <w:p>
      <w:pPr>
        <w:pPr/>
        <w:numPr>
          <w:ilvl w:val="0"/>
          <w:numId w:val="21"/>
        </w:numPr>
      </w:pPr>
      <w:r>
        <w:rPr/>
        <w:t xml:space="preserve">Rapport d’essai justifiant l’usure d’une barrière anti-termites par l’action d’un milieu alcalin (par exemple NF EN 1847 pour les barrières physico-chimique) et acide.</w:t>
      </w:r>
    </w:p>
    <w:p>
      <w:pPr/>
      <w:r>
        <w:rPr>
          <w:b/>
          <w:bCs/>
        </w:rPr>
        <w:t xml:space="preserve">Critères d'évaluation</w:t>
      </w:r>
    </w:p>
    <w:p>
      <w:pPr/>
      <w:r>
        <w:rPr/>
        <w:t xml:space="preserve">Voir critères des normes concernées.</w:t>
      </w:r>
    </w:p>
    <w:p>
      <w:pPr>
        <w:ind w:left="720" w:right="0"/>
      </w:pPr>
      <w:r>
        <w:rPr>
          <w:rStyle w:val="font_h2"/>
        </w:rPr>
        <w:t xml:space="preserve">2.12. Durée minimale d'efficacité</w:t>
      </w:r>
    </w:p>
    <w:p>
      <w:pPr/>
      <w:r>
        <w:rPr/>
        <w:t xml:space="preserve">Validé par le Groupe Spécialisé le 27/11/2018</w:t>
      </w:r>
    </w:p>
    <w:p>
      <w:pPr/>
      <w:r>
        <w:rPr>
          <w:b/>
          <w:bCs/>
        </w:rPr>
        <w:t xml:space="preserve">Description</w:t>
      </w:r>
    </w:p>
    <w:p>
      <w:pPr/>
      <w:r>
        <w:rPr/>
        <w:t xml:space="preserve">Conformément à l’arrêté du 27 juin 2006 relatif à l'application des articles R.112-2 à R.112-4 du CCH - Méthodes de protection -Annexe I : une attestation du fabricant indiquant sa durée minimale d'efficacité en œuvre doit être fournir à l’applicateur du procédé. Si cette durée est inférieure à 10 ans, le constructeur doit en avertir le maître d'ouvrage par écrit.</w:t>
      </w:r>
    </w:p>
    <w:p>
      <w:pPr/>
      <w:r>
        <w:rPr>
          <w:b/>
          <w:bCs/>
        </w:rPr>
        <w:t xml:space="preserve">Justification</w:t>
      </w:r>
    </w:p>
    <w:p>
      <w:pPr/>
      <w:r>
        <w:rPr/>
        <w:t xml:space="preserve">Exemple d’attestation du fabricant indiquant la durée minimale d'efficacité en œuvre de la barrière</w:t>
      </w:r>
    </w:p>
    <w:p>
      <w:pPr>
        <w:ind w:left="720" w:right="0"/>
      </w:pPr>
      <w:r>
        <w:rPr>
          <w:rStyle w:val="font_h2"/>
        </w:rPr>
        <w:t xml:space="preserve">2.13. Références chantier</w:t>
      </w:r>
    </w:p>
    <w:p>
      <w:pPr/>
      <w:r>
        <w:rPr/>
        <w:t xml:space="preserve">Validé par le Groupe Spécialisé le 27/11/2018</w:t>
      </w:r>
    </w:p>
    <w:p>
      <w:pPr/>
      <w:r>
        <w:rPr>
          <w:b/>
          <w:bCs/>
        </w:rPr>
        <w:t xml:space="preserve">Description</w:t>
      </w:r>
    </w:p>
    <w:p>
      <w:pPr/>
      <w:r>
        <w:rPr/>
        <w:t xml:space="preserve">Citer quelques références chantier publiables</w:t>
      </w:r>
    </w:p>
    <w:p>
      <w:pPr/>
      <w:r>
        <w:rPr>
          <w:b/>
          <w:bCs/>
        </w:rPr>
        <w:t xml:space="preserve">Justification</w:t>
      </w:r>
    </w:p>
    <w:p>
      <w:pPr/>
      <w:r>
        <w:rPr/>
        <w:t xml:space="preserve">Références chantier mentionnant la nature de l’ouvrage, le nombre de ml ou de m2 traités, la configuration de pose, la localisation et la date de livraison.</w:t>
      </w:r>
    </w:p>
    <w:p>
      <w:pPr/>
      <w:r>
        <w:rPr>
          <w:b/>
          <w:bCs/>
        </w:rPr>
        <w:t xml:space="preserve">Critères d'évaluation</w:t>
      </w:r>
    </w:p>
    <w:p>
      <w:pPr/>
      <w:r>
        <w:rPr/>
        <w:t xml:space="preserve">Minimum de deux références chantier publiables (dans le cas des révisions, ces références chantier doivent être ultérieures à la date du dernier examen en GS).</w:t>
      </w:r>
    </w:p>
    <w:p>
      <w:pPr>
        <w:ind w:left="720" w:right="0"/>
      </w:pPr>
      <w:r>
        <w:rPr>
          <w:rStyle w:val="font_h2"/>
        </w:rPr>
        <w:t xml:space="preserve">2.14. Traitement en fin de vie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0C3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7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1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0B5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60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48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B6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72A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EE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6D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80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92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BA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2026-05-09T15:59:40+02:00</dcterms:created>
  <dcterms:modified xsi:type="dcterms:W3CDTF">2026-05-09T15:59:40+02:00</dcterms:modified>
</cp:coreProperties>
</file>

<file path=docProps/custom.xml><?xml version="1.0" encoding="utf-8"?>
<Properties xmlns="http://schemas.openxmlformats.org/officeDocument/2006/custom-properties" xmlns:vt="http://schemas.openxmlformats.org/officeDocument/2006/docPropsVTypes"/>
</file>