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5.1 - Édité le 13/05/2026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5.1 « Produits et procédés de couvertures »</w:t>
      </w:r>
    </w:p>
    <w:p>
      <w:pPr/>
      <w:r>
        <w:rPr>
          <w:rStyle w:val="font_default"/>
        </w:rPr>
        <w:t xml:space="preserve">Famille de produits ou procédés : </w:t>
      </w:r>
      <w:r>
        <w:rPr>
          <w:rStyle w:val="font_h3"/>
        </w:rPr>
        <w:t xml:space="preserve">Couverture en tuiles de terre cuite à emboîtement à pureau plat en pente abaissée</w:t>
      </w:r>
    </w:p>
    <w:p>
      <w:pPr/>
      <w:r>
        <w:rPr>
          <w:rStyle w:val="font_h1"/>
        </w:rPr>
        <w:t xml:space="preserve">1. Généralités</w:t>
      </w:r>
    </w:p>
    <w:p>
      <w:pPr>
        <w:ind w:left="720" w:right="0"/>
      </w:pPr>
      <w:r>
        <w:rPr>
          <w:rStyle w:val="font_h2"/>
        </w:rPr>
        <w:t xml:space="preserve">1.1. Généralités</w:t>
      </w:r>
    </w:p>
    <w:p>
      <w:pPr/>
      <w:r>
        <w:rPr/>
        <w:t xml:space="preserve">Validé par le Groupe Spécialisé le 15/07/2020</w:t>
      </w:r>
    </w:p>
    <w:p>
      <w:pPr/>
      <w:r>
        <w:rPr>
          <w:b/>
          <w:bCs/>
        </w:rPr>
        <w:t xml:space="preserve">Description</w:t>
      </w:r>
    </w:p>
    <w:p>
      <w:pPr/>
      <w:r>
        <w:rPr>
          <w:i/>
          <w:iCs/>
        </w:rPr>
        <w:t xml:space="preserve">JURISPRUDENCE GENERALE : Dans le cas d’un changement significatif du produit (géométrie, dimensions, composition, compatibilité non avérée avec l’ancien produit dont il est envisagé de conserver le nom, etc.…), les noms du produit et du procédé ne peuvent pas rester identiques aux noms de l’ancien produit et ancien procédé.</w:t>
      </w:r>
    </w:p>
    <w:p>
      <w:pPr/>
      <w:r>
        <w:rPr>
          <w:i/>
          <w:iCs/>
        </w:rPr>
        <w:t xml:space="preserve">JURISPRUDENCE (générale tuiles de terre cuite) : Si sont revendiquées des pentes inférieures aux pentes minimales actuellement acceptées par famille de procédés, ces dernières devront être justifiées par des arguments circonstanciés relatifs au maintien de l’étanchéité à l’eau de la couverture dans le temps tant en partie courante qu’au niveau des points singuliers, en tenant compte notamment des tolérances de fabrication des tuiles, des conditions de ventilation de la couverture du fait de la pente abaissée, des limitations renforcées probables de flèches et des conséquences dues au fluage des liteaux et de la charpente, etc...</w:t>
      </w:r>
    </w:p>
    <w:p>
      <w:pPr>
        <w:ind w:left="720" w:right="0"/>
      </w:pPr>
      <w:r>
        <w:rPr>
          <w:rStyle w:val="font_h2"/>
        </w:rPr>
        <w:t xml:space="preserve">1.2. Description</w:t>
      </w:r>
    </w:p>
    <w:p>
      <w:pPr/>
      <w:r>
        <w:rPr/>
        <w:t xml:space="preserve">Validé par le Groupe Spécialisé le 15/04/2019</w:t>
      </w:r>
    </w:p>
    <w:p>
      <w:pPr/>
      <w:r>
        <w:rPr>
          <w:b/>
          <w:bCs/>
        </w:rPr>
        <w:t xml:space="preserve">Description</w:t>
      </w:r>
    </w:p>
    <w:p>
      <w:pPr/>
      <w:r>
        <w:rPr>
          <w:b/>
          <w:bCs/>
        </w:rPr>
        <w:t xml:space="preserve">NOTA : Les tuiles visées dans cette famille sont celles qui ne répondent pas aux </w:t>
      </w:r>
      <w:r>
        <w:rPr>
          <w:b/>
          <w:bCs/>
          <w:i/>
          <w:iCs/>
        </w:rPr>
        <w:t xml:space="preserve">"Règles professionnels pour la pose à faible pente des tuiles de terre cuite à emboîtement ou à glissement à relief"</w:t>
      </w:r>
      <w:r>
        <w:rPr>
          <w:b/>
          <w:bCs/>
        </w:rPr>
        <w:t xml:space="preserve"> de septembre 2015.</w:t>
      </w:r>
      <w:r>
        <w:rPr/>
        <w:t xml:space="preserve">   </w:t>
      </w:r>
    </w:p>
    <w:p>
      <w:pPr/>
      <w:r>
        <w:rPr/>
        <w:t xml:space="preserve">Préciser :</w:t>
      </w:r>
    </w:p>
    <w:p>
      <w:pPr>
        <w:pPr/>
        <w:numPr>
          <w:ilvl w:val="0"/>
          <w:numId w:val="9"/>
        </w:numPr>
      </w:pPr>
      <w:r>
        <w:rPr/>
        <w:t xml:space="preserve">le type de tuile, </w:t>
      </w:r>
    </w:p>
    <w:p>
      <w:pPr>
        <w:pPr/>
        <w:numPr>
          <w:ilvl w:val="0"/>
          <w:numId w:val="9"/>
        </w:numPr>
      </w:pPr>
      <w:r>
        <w:rPr/>
        <w:t xml:space="preserve">son emboitement le cas échéant, </w:t>
      </w:r>
    </w:p>
    <w:p>
      <w:pPr>
        <w:pPr/>
        <w:numPr>
          <w:ilvl w:val="0"/>
          <w:numId w:val="9"/>
        </w:numPr>
      </w:pPr>
      <w:r>
        <w:rPr/>
        <w:t xml:space="preserve">sa destination, son domaine d'emploi,</w:t>
      </w:r>
    </w:p>
    <w:p>
      <w:pPr>
        <w:pPr/>
        <w:numPr>
          <w:ilvl w:val="0"/>
          <w:numId w:val="9"/>
        </w:numPr>
      </w:pPr>
      <w:r>
        <w:rPr/>
        <w:t xml:space="preserve">la référence aux règles de conception et de mise en œuvre précisées dans les DTU de la série 40.2* selon le type de tuile, et le NF DTU 40.29 le cas échéant.</w:t>
      </w:r>
    </w:p>
    <w:p>
      <w:pPr/>
      <w:r>
        <w:rPr>
          <w:b/>
          <w:bCs/>
        </w:rPr>
        <w:t xml:space="preserve">Justification</w:t>
      </w:r>
    </w:p>
    <w:p>
      <w:pPr/>
      <w:r>
        <w:rPr/>
        <w:t xml:space="preserve">Fournir la déclaration de performance selon la norme produit et une étiquette de marquage CE.</w:t>
      </w:r>
    </w:p>
    <w:p>
      <w:pPr/>
      <w:r>
        <w:rPr>
          <w:rStyle w:val="font_h1"/>
        </w:rPr>
        <w:t xml:space="preserve">2. Domaine d'emploi</w:t>
      </w:r>
    </w:p>
    <w:p>
      <w:pPr/>
      <w:r>
        <w:rPr/>
        <w:t xml:space="preserve">Validé par le Groupe Spécialisé le 31/01/2017</w:t>
      </w:r>
    </w:p>
    <w:p>
      <w:pPr/>
      <w:r>
        <w:rPr>
          <w:b/>
          <w:bCs/>
        </w:rPr>
        <w:t xml:space="preserve">Description</w:t>
      </w:r>
    </w:p>
    <w:p>
      <w:pPr/>
      <w:r>
        <w:rPr/>
        <w:t xml:space="preserve">Décrire le domaine d'emploi revendiqué, en fonction de l'expérience reconnue et réussie.</w:t>
      </w:r>
    </w:p>
    <w:p>
      <w:pPr/>
      <w:r>
        <w:rPr/>
        <w:t xml:space="preserve">La liste des références de chantiers doit indiquer:</w:t>
      </w:r>
    </w:p>
    <w:p>
      <w:pPr>
        <w:pPr/>
        <w:numPr>
          <w:ilvl w:val="0"/>
          <w:numId w:val="10"/>
        </w:numPr>
      </w:pPr>
      <w:r>
        <w:rPr/>
        <w:t xml:space="preserve">La référence de la tuile.</w:t>
      </w:r>
    </w:p>
    <w:p>
      <w:pPr>
        <w:pPr/>
        <w:numPr>
          <w:ilvl w:val="0"/>
          <w:numId w:val="10"/>
        </w:numPr>
      </w:pPr>
      <w:r>
        <w:rPr/>
        <w:t xml:space="preserve">Le nom et les coordonnées du chantier.</w:t>
      </w:r>
    </w:p>
    <w:p>
      <w:pPr>
        <w:pPr/>
        <w:numPr>
          <w:ilvl w:val="0"/>
          <w:numId w:val="10"/>
        </w:numPr>
      </w:pPr>
      <w:r>
        <w:rPr/>
        <w:t xml:space="preserve">Le nom et les coordonnées du maître d’ouvrage.</w:t>
      </w:r>
    </w:p>
    <w:p>
      <w:pPr>
        <w:pPr/>
        <w:numPr>
          <w:ilvl w:val="0"/>
          <w:numId w:val="10"/>
        </w:numPr>
      </w:pPr>
      <w:r>
        <w:rPr/>
        <w:t xml:space="preserve">Le nom et les coordonnées du maître d’œuvre.</w:t>
      </w:r>
    </w:p>
    <w:p>
      <w:pPr>
        <w:pPr/>
        <w:numPr>
          <w:ilvl w:val="0"/>
          <w:numId w:val="10"/>
        </w:numPr>
      </w:pPr>
      <w:r>
        <w:rPr/>
        <w:t xml:space="preserve">Le nom et les coordonnées de l’entreprise de pose.</w:t>
      </w:r>
    </w:p>
    <w:p>
      <w:pPr>
        <w:pPr/>
        <w:numPr>
          <w:ilvl w:val="0"/>
          <w:numId w:val="10"/>
        </w:numPr>
      </w:pPr>
      <w:r>
        <w:rPr/>
        <w:t xml:space="preserve">Le nom et les coordonnées du contrôleur, le cas échéant.</w:t>
      </w:r>
    </w:p>
    <w:p>
      <w:pPr>
        <w:pPr/>
        <w:numPr>
          <w:ilvl w:val="0"/>
          <w:numId w:val="10"/>
        </w:numPr>
      </w:pPr>
      <w:r>
        <w:rPr/>
        <w:t xml:space="preserve">Le mois et l’année de réalisation.</w:t>
      </w:r>
    </w:p>
    <w:p>
      <w:pPr>
        <w:pPr/>
        <w:numPr>
          <w:ilvl w:val="0"/>
          <w:numId w:val="10"/>
        </w:numPr>
      </w:pPr>
      <w:r>
        <w:rPr/>
        <w:t xml:space="preserve">La surface concernée.</w:t>
      </w:r>
    </w:p>
    <w:p>
      <w:pPr>
        <w:pPr/>
        <w:numPr>
          <w:ilvl w:val="0"/>
          <w:numId w:val="10"/>
        </w:numPr>
      </w:pPr>
      <w:r>
        <w:rPr/>
        <w:t xml:space="preserve">La pente.</w:t>
      </w:r>
    </w:p>
    <w:p>
      <w:pPr>
        <w:pPr/>
        <w:numPr>
          <w:ilvl w:val="0"/>
          <w:numId w:val="10"/>
        </w:numPr>
      </w:pPr>
      <w:r>
        <w:rPr/>
        <w:t xml:space="preserve">La longueur de rampant.</w:t>
      </w:r>
    </w:p>
    <w:p>
      <w:pPr>
        <w:pPr/>
        <w:numPr>
          <w:ilvl w:val="0"/>
          <w:numId w:val="10"/>
        </w:numPr>
      </w:pPr>
      <w:r>
        <w:rPr/>
        <w:t xml:space="preserve">La zone de concomitance vent-pluie selon les DTU 40.2*.</w:t>
      </w:r>
    </w:p>
    <w:p>
      <w:pPr>
        <w:pPr/>
        <w:numPr>
          <w:ilvl w:val="0"/>
          <w:numId w:val="10"/>
        </w:numPr>
      </w:pPr>
      <w:r>
        <w:rPr/>
        <w:t xml:space="preserve">La situation selon les DTU 40.2*.</w:t>
      </w:r>
    </w:p>
    <w:p>
      <w:pPr>
        <w:pPr/>
        <w:numPr>
          <w:ilvl w:val="0"/>
          <w:numId w:val="10"/>
        </w:numPr>
      </w:pPr>
      <w:r>
        <w:rPr/>
        <w:t xml:space="preserve">L’altitude.</w:t>
      </w:r>
    </w:p>
    <w:p>
      <w:pPr>
        <w:pPr/>
        <w:numPr>
          <w:ilvl w:val="0"/>
          <w:numId w:val="10"/>
        </w:numPr>
      </w:pPr>
      <w:r>
        <w:rPr/>
        <w:t xml:space="preserve">Le bord de mer (≤ 5 km) le cas échéant.</w:t>
      </w:r>
    </w:p>
    <w:p>
      <w:pPr>
        <w:pPr/>
        <w:numPr>
          <w:ilvl w:val="0"/>
          <w:numId w:val="10"/>
        </w:numPr>
      </w:pPr>
      <w:r>
        <w:rPr/>
        <w:t xml:space="preserve">La  présence  ou  non  d’un  écran  de  sous-toiture  (l’écran  n’est  pas  une  étanchéité complémentaire).</w:t>
      </w:r>
    </w:p>
    <w:p>
      <w:pPr/>
      <w:r>
        <w:rPr>
          <w:rStyle w:val="font_h1"/>
        </w:rPr>
        <w:t xml:space="preserve">3. Matériaux</w:t>
      </w:r>
    </w:p>
    <w:p>
      <w:pPr>
        <w:ind w:left="720" w:right="0"/>
      </w:pPr>
      <w:r>
        <w:rPr>
          <w:rStyle w:val="font_h2"/>
        </w:rPr>
        <w:t xml:space="preserve">3.1. Désignation commerciale</w:t>
      </w:r>
    </w:p>
    <w:p>
      <w:pPr/>
      <w:r>
        <w:rPr/>
        <w:t xml:space="preserve">Validé par le Groupe Spécialisé le 31/01/2017</w:t>
      </w:r>
    </w:p>
    <w:p>
      <w:pPr/>
      <w:r>
        <w:rPr>
          <w:b/>
          <w:bCs/>
        </w:rPr>
        <w:t xml:space="preserve">Description</w:t>
      </w:r>
    </w:p>
    <w:p>
      <w:pPr/>
      <w:r>
        <w:rPr/>
        <w:t xml:space="preserve">Préciser la dénomination commerciale de la tuile.</w:t>
      </w:r>
    </w:p>
    <w:p>
      <w:pPr>
        <w:ind w:left="720" w:right="0"/>
      </w:pPr>
      <w:r>
        <w:rPr>
          <w:rStyle w:val="font_h2"/>
        </w:rPr>
        <w:t xml:space="preserve">3.2. Tuiles courantes</w:t>
      </w:r>
    </w:p>
    <w:p>
      <w:pPr>
        <w:ind w:left="1440" w:right="0"/>
      </w:pPr>
      <w:r>
        <w:rPr>
          <w:rStyle w:val="font_h3"/>
        </w:rPr>
        <w:t xml:space="preserve">3.2.1. Caractéristiques générales</w:t>
      </w:r>
    </w:p>
    <w:p>
      <w:pPr/>
      <w:r>
        <w:rPr/>
        <w:t xml:space="preserve">Validé par le Groupe Spécialisé le 23/03/2020</w:t>
      </w:r>
    </w:p>
    <w:p>
      <w:pPr/>
      <w:r>
        <w:rPr>
          <w:b/>
          <w:bCs/>
        </w:rPr>
        <w:t xml:space="preserve">Description</w:t>
      </w:r>
    </w:p>
    <w:p>
      <w:pPr>
        <w:pPr/>
        <w:numPr>
          <w:ilvl w:val="0"/>
          <w:numId w:val="11"/>
        </w:numPr>
      </w:pPr>
      <w:r>
        <w:rPr/>
        <w:t xml:space="preserve">Renvoyer à la norme de marquage CE du produit.</w:t>
      </w:r>
    </w:p>
    <w:p>
      <w:pPr>
        <w:pPr/>
        <w:numPr>
          <w:ilvl w:val="0"/>
          <w:numId w:val="11"/>
        </w:numPr>
      </w:pPr>
      <w:r>
        <w:rPr/>
        <w:t xml:space="preserve">Indiquer si les tuiles bénéficient de la marque NF.</w:t>
      </w:r>
    </w:p>
    <w:p>
      <w:pPr>
        <w:pPr/>
        <w:numPr>
          <w:ilvl w:val="0"/>
          <w:numId w:val="11"/>
        </w:numPr>
      </w:pPr>
      <w:r>
        <w:rPr/>
        <w:t xml:space="preserve">Donner les dimensions (longueur, largeur..).</w:t>
      </w:r>
    </w:p>
    <w:p>
      <w:pPr>
        <w:pPr/>
        <w:numPr>
          <w:ilvl w:val="0"/>
          <w:numId w:val="11"/>
        </w:numPr>
      </w:pPr>
      <w:r>
        <w:rPr/>
        <w:t xml:space="preserve">Préciser le pureau à utiliser pour la mise en œuvre.</w:t>
      </w:r>
    </w:p>
    <w:p>
      <w:pPr>
        <w:pPr/>
        <w:numPr>
          <w:ilvl w:val="0"/>
          <w:numId w:val="11"/>
        </w:numPr>
      </w:pPr>
      <w:r>
        <w:rPr/>
        <w:t xml:space="preserve">Indiquer les longueurs de recouvrement et/ou le type d'emboîtement,</w:t>
      </w:r>
    </w:p>
    <w:p>
      <w:pPr>
        <w:pPr/>
        <w:numPr>
          <w:ilvl w:val="0"/>
          <w:numId w:val="11"/>
        </w:numPr>
      </w:pPr>
      <w:r>
        <w:rPr/>
        <w:t xml:space="preserve">Préciser le poids unitaire.</w:t>
      </w:r>
    </w:p>
    <w:p>
      <w:pPr>
        <w:pPr/>
        <w:numPr>
          <w:ilvl w:val="0"/>
          <w:numId w:val="11"/>
        </w:numPr>
      </w:pPr>
      <w:r>
        <w:rPr/>
        <w:t xml:space="preserve">Préciser le Nombre de tuile par m².</w:t>
      </w:r>
    </w:p>
    <w:p>
      <w:pPr>
        <w:pPr/>
        <w:numPr>
          <w:ilvl w:val="0"/>
          <w:numId w:val="11"/>
        </w:numPr>
      </w:pPr>
      <w:r>
        <w:rPr/>
        <w:t xml:space="preserve">Préciser si la tuile est siliconée.</w:t>
      </w:r>
    </w:p>
    <w:p>
      <w:pPr>
        <w:pPr/>
        <w:numPr>
          <w:ilvl w:val="0"/>
          <w:numId w:val="11"/>
        </w:numPr>
      </w:pPr>
      <w:r>
        <w:rPr/>
        <w:t xml:space="preserve">Préciser les teintes.</w:t>
      </w:r>
    </w:p>
    <w:p>
      <w:pPr>
        <w:pPr/>
        <w:numPr>
          <w:ilvl w:val="0"/>
          <w:numId w:val="11"/>
        </w:numPr>
      </w:pPr>
      <w:r>
        <w:rPr/>
        <w:t xml:space="preserve">Renvoyer aux coupes données dans le dossier graphique. (Coupe longitudinale, Coupe transversale, Vue en perspective, Vue de l’intrados, Vue de l’extrados).</w:t>
      </w:r>
    </w:p>
    <w:p>
      <w:pPr/>
      <w:r>
        <w:rPr>
          <w:b/>
          <w:bCs/>
        </w:rPr>
        <w:t xml:space="preserve">Justification</w:t>
      </w:r>
    </w:p>
    <w:p>
      <w:pPr/>
      <w:r>
        <w:rPr/>
        <w:t xml:space="preserve">Fournir la DOP de la tuile, la fiche technique, et la certification NF063 le cas échéant.</w:t>
      </w:r>
    </w:p>
    <w:p>
      <w:pPr/>
      <w:r>
        <w:rPr>
          <w:b/>
          <w:bCs/>
        </w:rPr>
        <w:t xml:space="preserve">Illustration</w:t>
      </w:r>
    </w:p>
    <w:p>
      <w:pPr/>
      <w:r>
        <w:rPr/>
        <w:t xml:space="preserve">Figures cotées suivantes :</w:t>
      </w:r>
    </w:p>
    <w:p>
      <w:pPr>
        <w:pPr/>
        <w:numPr>
          <w:ilvl w:val="0"/>
          <w:numId w:val="12"/>
        </w:numPr>
      </w:pPr>
      <w:r>
        <w:rPr/>
        <w:t xml:space="preserve">Coupe longitudinale.</w:t>
      </w:r>
    </w:p>
    <w:p>
      <w:pPr>
        <w:pPr/>
        <w:numPr>
          <w:ilvl w:val="0"/>
          <w:numId w:val="12"/>
        </w:numPr>
      </w:pPr>
      <w:r>
        <w:rPr/>
        <w:t xml:space="preserve">Coupe transversale.</w:t>
      </w:r>
    </w:p>
    <w:p>
      <w:pPr>
        <w:pPr/>
        <w:numPr>
          <w:ilvl w:val="0"/>
          <w:numId w:val="12"/>
        </w:numPr>
      </w:pPr>
      <w:r>
        <w:rPr/>
        <w:t xml:space="preserve">Vue en perspective.</w:t>
      </w:r>
    </w:p>
    <w:p>
      <w:pPr>
        <w:pPr/>
        <w:numPr>
          <w:ilvl w:val="0"/>
          <w:numId w:val="12"/>
        </w:numPr>
      </w:pPr>
      <w:r>
        <w:rPr/>
        <w:t xml:space="preserve">Vue de l’intrados.</w:t>
      </w:r>
    </w:p>
    <w:p>
      <w:pPr>
        <w:pPr/>
        <w:numPr>
          <w:ilvl w:val="0"/>
          <w:numId w:val="12"/>
        </w:numPr>
      </w:pPr>
      <w:r>
        <w:rPr/>
        <w:t xml:space="preserve">Vue de l’extrados.</w:t>
      </w:r>
    </w:p>
    <w:p>
      <w:pPr>
        <w:pPr/>
        <w:numPr>
          <w:ilvl w:val="0"/>
          <w:numId w:val="12"/>
        </w:numPr>
      </w:pPr>
      <w:r>
        <w:rPr/>
        <w:t xml:space="preserve">Coupe cotée de l'emboîtement latéral.</w:t>
      </w:r>
    </w:p>
    <w:p>
      <w:pPr>
        <w:ind w:left="1440" w:right="0"/>
      </w:pPr>
      <w:r>
        <w:rPr>
          <w:rStyle w:val="font_h3"/>
        </w:rPr>
        <w:t xml:space="preserve">3.2.2. Caractéristiques Spécifiques</w:t>
      </w:r>
    </w:p>
    <w:p>
      <w:pPr/>
      <w:r>
        <w:rPr/>
        <w:t xml:space="preserve">Validé par le Groupe Spécialisé le 04/04/2022</w:t>
      </w:r>
    </w:p>
    <w:p>
      <w:pPr/>
      <w:r>
        <w:rPr>
          <w:b/>
          <w:bCs/>
        </w:rPr>
        <w:t xml:space="preserve">Description</w:t>
      </w:r>
    </w:p>
    <w:p>
      <w:pPr/>
      <w:r>
        <w:rPr/>
        <w:t xml:space="preserve">Renvoyer à la norme de marquage CE et à la certification le cas échéant. Les caractéristiques de la tuile (aspect, coefficient de planéité, rectitude, longueur, largeur, pureau longitudinal, pureau transversal, résistance au gel, imperméabilité, résistance à la rupture par flexion ...) sont indiquées avec les tolérances et les normes de référence. Ces informations sont récapitulées dans un tableau en fin de dossier technique.</w:t>
      </w:r>
    </w:p>
    <w:p>
      <w:pPr/>
      <w:r>
        <w:rPr>
          <w:i/>
          <w:iCs/>
        </w:rPr>
        <w:t xml:space="preserve">JURISPRUDENCE : Dans le cas des tuiles de terre cuite à emboîtement à pureau plat, ces dernières doivent répondre au CGM du DTU 40.211, et notamment d’une résistance à la rupture par flexion supérieure à 100 daN.</w:t>
      </w:r>
    </w:p>
    <w:p>
      <w:pPr/>
      <w:r>
        <w:rPr>
          <w:b/>
          <w:bCs/>
        </w:rPr>
        <w:t xml:space="preserve">Justification</w:t>
      </w:r>
    </w:p>
    <w:p>
      <w:pPr/>
      <w:r>
        <w:rPr/>
        <w:t xml:space="preserve">Le rapport d’essais de caractérisation de l’étanchéité à l’eau en soufflerie climatique.habituellement MOBY DICK II</w:t>
      </w:r>
    </w:p>
    <w:p>
      <w:pPr/>
      <w:r>
        <w:rPr>
          <w:b/>
          <w:bCs/>
        </w:rPr>
        <w:t xml:space="preserve">Critères d'évaluation</w:t>
      </w:r>
    </w:p>
    <w:p>
      <w:pPr/>
      <w:r>
        <w:rPr/>
        <w:t xml:space="preserve">supérieur à -50 Pa.</w:t>
      </w:r>
    </w:p>
    <w:p>
      <w:pPr>
        <w:ind w:left="720" w:right="0"/>
      </w:pPr>
      <w:r>
        <w:rPr>
          <w:rStyle w:val="font_h2"/>
        </w:rPr>
        <w:t xml:space="preserve">3.3. Accessoires</w:t>
      </w:r>
    </w:p>
    <w:p>
      <w:pPr/>
      <w:r>
        <w:rPr/>
        <w:t xml:space="preserve">Validé par le Groupe Spécialisé le 31/01/2017</w:t>
      </w:r>
    </w:p>
    <w:p>
      <w:pPr/>
      <w:r>
        <w:rPr>
          <w:b/>
          <w:bCs/>
        </w:rPr>
        <w:t xml:space="preserve">Description</w:t>
      </w:r>
    </w:p>
    <w:p>
      <w:pPr/>
      <w:r>
        <w:rPr/>
        <w:t xml:space="preserve">Préciser les accessoires associés à la tuile et le cas échéant indiquer si ils bénéficient de la marque NF. Compléter éventuellement le dossier graphique avec une représentation des accessoires.</w:t>
      </w:r>
    </w:p>
    <w:p>
      <w:pPr>
        <w:ind w:left="720" w:right="0"/>
      </w:pPr>
      <w:r>
        <w:rPr>
          <w:rStyle w:val="font_h2"/>
        </w:rPr>
        <w:t xml:space="preserve">3.4. Mortier</w:t>
      </w:r>
    </w:p>
    <w:p>
      <w:pPr/>
      <w:r>
        <w:rPr/>
        <w:t xml:space="preserve">Validé par le Groupe Spécialisé le 31/01/2017</w:t>
      </w:r>
    </w:p>
    <w:p>
      <w:pPr/>
      <w:r>
        <w:rPr>
          <w:b/>
          <w:bCs/>
        </w:rPr>
        <w:t xml:space="preserve">Description</w:t>
      </w:r>
    </w:p>
    <w:p>
      <w:pPr/>
      <w:r>
        <w:rPr/>
        <w:t xml:space="preserve">Les mortiers utilisés pour le traitement des points singuliers de couverture sont des mortiers de chaux ou des mortiers bâtards tels que définis dans le NF DTU 40.*.Pour les tuiles siliconées, les ouvrages particuliers de couverture traités par scellement nécessitent d'avoir recours à un mortier adjuvanté.Le fabricant de mortier doit préciser, aux entreprises qui en font la demande, la liste des adjuvants adaptés, à incorporer dans le mortier.</w:t>
      </w:r>
    </w:p>
    <w:p>
      <w:pPr/>
      <w:r>
        <w:rPr>
          <w:rStyle w:val="font_h1"/>
        </w:rPr>
        <w:t xml:space="preserve">4. Fabrication et contrôles</w:t>
      </w:r>
    </w:p>
    <w:p>
      <w:pPr>
        <w:ind w:left="720" w:right="0"/>
      </w:pPr>
      <w:r>
        <w:rPr>
          <w:rStyle w:val="font_h2"/>
        </w:rPr>
        <w:t xml:space="preserve">4.1. Fabrication</w:t>
      </w:r>
    </w:p>
    <w:p>
      <w:pPr/>
      <w:r>
        <w:rPr/>
        <w:t xml:space="preserve">Validé par le Groupe Spécialisé le 31/01/2017</w:t>
      </w:r>
    </w:p>
    <w:p>
      <w:pPr/>
      <w:r>
        <w:rPr>
          <w:b/>
          <w:bCs/>
        </w:rPr>
        <w:t xml:space="preserve">Description</w:t>
      </w:r>
    </w:p>
    <w:p>
      <w:pPr/>
      <w:r>
        <w:rPr/>
        <w:t xml:space="preserve">Décrire succinctement la fabrication.Préciser les lieux de production.</w:t>
      </w:r>
    </w:p>
    <w:p>
      <w:pPr>
        <w:ind w:left="720" w:right="0"/>
      </w:pPr>
      <w:r>
        <w:rPr>
          <w:rStyle w:val="font_h2"/>
        </w:rPr>
        <w:t xml:space="preserve">4.2. Contrôles</w:t>
      </w:r>
    </w:p>
    <w:p>
      <w:pPr/>
      <w:r>
        <w:rPr/>
        <w:t xml:space="preserve">Validé par le Groupe Spécialisé le 31/01/2017</w:t>
      </w:r>
    </w:p>
    <w:p>
      <w:pPr/>
      <w:r>
        <w:rPr>
          <w:b/>
          <w:bCs/>
        </w:rPr>
        <w:t xml:space="preserve">Description</w:t>
      </w:r>
    </w:p>
    <w:p>
      <w:pPr/>
      <w:r>
        <w:rPr/>
        <w:t xml:space="preserve">Préciser le système d’autocontrôle et de vérification de la fabrication des produits et accessoires (ex: certification NF).</w:t>
      </w:r>
    </w:p>
    <w:p>
      <w:pPr>
        <w:ind w:left="720" w:right="0"/>
      </w:pPr>
      <w:r>
        <w:rPr>
          <w:rStyle w:val="font_h2"/>
        </w:rPr>
        <w:t xml:space="preserve">4.3. Marquages</w:t>
      </w:r>
    </w:p>
    <w:p>
      <w:pPr/>
      <w:r>
        <w:rPr/>
        <w:t xml:space="preserve">Validé par le Groupe Spécialisé le 31/01/2017</w:t>
      </w:r>
    </w:p>
    <w:p>
      <w:pPr/>
      <w:r>
        <w:rPr>
          <w:b/>
          <w:bCs/>
        </w:rPr>
        <w:t xml:space="preserve">Description</w:t>
      </w:r>
    </w:p>
    <w:p>
      <w:pPr/>
      <w:r>
        <w:rPr/>
        <w:t xml:space="preserve">Ajouter une figure précisant les marquages.</w:t>
      </w:r>
    </w:p>
    <w:p>
      <w:pPr/>
      <w:r>
        <w:rPr>
          <w:rStyle w:val="font_h1"/>
        </w:rPr>
        <w:t xml:space="preserve">5. Mise en oeuvre</w:t>
      </w:r>
    </w:p>
    <w:p>
      <w:pPr>
        <w:ind w:left="720" w:right="0"/>
      </w:pPr>
      <w:r>
        <w:rPr>
          <w:rStyle w:val="font_h2"/>
        </w:rPr>
        <w:t xml:space="preserve">5.1. Dimensionnement</w:t>
      </w:r>
    </w:p>
    <w:p>
      <w:pPr/>
      <w:r>
        <w:rPr/>
        <w:t xml:space="preserve">Validé par le Groupe Spécialisé le 03/06/2019</w:t>
      </w:r>
    </w:p>
    <w:p>
      <w:pPr/>
      <w:r>
        <w:rPr>
          <w:b/>
          <w:bCs/>
        </w:rPr>
        <w:t xml:space="preserve">Description</w:t>
      </w:r>
    </w:p>
    <w:p>
      <w:pPr/>
      <w:r>
        <w:rPr>
          <w:i/>
          <w:iCs/>
        </w:rPr>
        <w:t xml:space="preserve">JURISPRUDENCE GENERALE : Au sein de l’ouvrage de couverture assurant le clos et couvert du bâtiment, il n’est pas permis d’avoir différents éléments dimensionnés selon deux référentiels différents. Dans tous les cas, le dimensionnement du système complet de couverture (composé notamment selon les cas de : support, isolant, voliges, lattes, contrelattes, liteaux, structure oméga intermédiaire, plaques, feuilles, bacs ou petits éléments de couverture, ...) doit être réalisé en intégralité avec un seul et même référentiel (approche « contraintes admissibles » NV65 modifiées ou approche « états limites » Eurocode1, Partie 1-3 et Partie 1-4).</w:t>
      </w:r>
    </w:p>
    <w:p>
      <w:pPr>
        <w:ind w:left="720" w:right="0"/>
      </w:pPr>
      <w:r>
        <w:rPr>
          <w:rStyle w:val="font_h2"/>
        </w:rPr>
        <w:t xml:space="preserve">5.2. Pentes</w:t>
      </w:r>
    </w:p>
    <w:p>
      <w:pPr/>
      <w:r>
        <w:rPr/>
        <w:t xml:space="preserve">Validé par le Groupe Spécialisé le 15/04/2019</w:t>
      </w:r>
    </w:p>
    <w:p>
      <w:pPr/>
      <w:r>
        <w:rPr>
          <w:b/>
          <w:bCs/>
        </w:rPr>
        <w:t xml:space="preserve">Description</w:t>
      </w:r>
    </w:p>
    <w:p>
      <w:pPr/>
      <w:r>
        <w:rPr/>
        <w:t xml:space="preserve">Le tableau des pentes doit être établi sur la base de l'expérience reconnue et réussis.Les pentes sont données sous forme de tableau.Distinguer, le cas échéant, les pentes admissibles avec ou sans écran de sous toiture.Les pentes sont données en %, en fonction de la situation, de la zone, et de la longueur du rampant.La pente indiquée dans le tableau doit avoir au moins 3 références significatives par site/situation (protégé, normal, exposé), par zone d'application (1, 2 ou 3), par longueur de rampant en projection horizontale.</w:t>
      </w:r>
    </w:p>
    <w:p>
      <w:pPr>
        <w:ind w:left="720" w:right="0"/>
      </w:pPr>
      <w:r>
        <w:rPr>
          <w:rStyle w:val="font_h2"/>
        </w:rPr>
        <w:t xml:space="preserve">5.3. Traitement des points singuliers</w:t>
      </w:r>
    </w:p>
    <w:p>
      <w:pPr/>
      <w:r>
        <w:rPr/>
        <w:t xml:space="preserve">Validé par le Groupe Spécialisé le 31/01/2017</w:t>
      </w:r>
    </w:p>
    <w:p>
      <w:pPr/>
      <w:r>
        <w:rPr>
          <w:b/>
          <w:bCs/>
        </w:rPr>
        <w:t xml:space="preserve">Description</w:t>
      </w:r>
    </w:p>
    <w:p>
      <w:pPr/>
      <w:r>
        <w:rPr/>
        <w:t xml:space="preserve">Décrire la mise en œuvre à l'égout, en rives, au faîtage, à l'arêtier, la noue, et les pénétrations.Le cas échéant se référer au DTU de la série 40.* ainsi qu'aux règles professionnelles notamment pour la description de la mise en œuvre à l'égout et pour la noue.</w:t>
      </w:r>
    </w:p>
    <w:p>
      <w:pPr/>
      <w:r>
        <w:rPr>
          <w:rStyle w:val="font_h1"/>
        </w:rPr>
        <w:t xml:space="preserve">6. Fixations</w:t>
      </w:r>
    </w:p>
    <w:p>
      <w:pPr/>
      <w:r>
        <w:rPr/>
        <w:t xml:space="preserve">Validé par le Groupe Spécialisé le 31/01/2017</w:t>
      </w:r>
    </w:p>
    <w:p>
      <w:pPr/>
      <w:r>
        <w:rPr>
          <w:b/>
          <w:bCs/>
        </w:rPr>
        <w:t xml:space="preserve">Description</w:t>
      </w:r>
    </w:p>
    <w:p>
      <w:pPr/>
      <w:r>
        <w:rPr/>
        <w:t xml:space="preserve">Décrire le mode de fixation des tuiles ( trous de clouage, tenons) et les accessoires de fixations ( clous, vis, crochets). Donner la densité de fixation ou renvoyer au texte de référence le cas échéant.</w:t>
      </w:r>
    </w:p>
    <w:p>
      <w:pPr/>
      <w:r>
        <w:rPr>
          <w:rStyle w:val="font_h1"/>
        </w:rPr>
        <w:t xml:space="preserve">7. Ventilation</w:t>
      </w:r>
    </w:p>
    <w:p>
      <w:pPr/>
      <w:r>
        <w:rPr/>
        <w:t xml:space="preserve">Validé par le Groupe Spécialisé le 31/01/2017</w:t>
      </w:r>
    </w:p>
    <w:p>
      <w:pPr/>
      <w:r>
        <w:rPr>
          <w:b/>
          <w:bCs/>
        </w:rPr>
        <w:t xml:space="preserve">Description</w:t>
      </w:r>
    </w:p>
    <w:p>
      <w:pPr/>
      <w:r>
        <w:rPr/>
        <w:t xml:space="preserve">Préciser les modes de ventilation. Renvoyer aux DTU concernés le cas échéant. Dans le cas où un closoir est utilisé et qu'il bénéficie de la certification QB35, le préciser.</w:t>
      </w:r>
    </w:p>
    <w:p>
      <w:pPr/>
      <w:r>
        <w:rPr>
          <w:rStyle w:val="font_h1"/>
        </w:rPr>
        <w:t xml:space="preserve">8. Ecran de sous-toiture (le cas échéant)</w:t>
      </w:r>
    </w:p>
    <w:p>
      <w:pPr/>
      <w:r>
        <w:rPr/>
        <w:t xml:space="preserve">Validé par le Groupe Spécialisé le 31/01/2017</w:t>
      </w:r>
    </w:p>
    <w:p>
      <w:pPr/>
      <w:r>
        <w:rPr>
          <w:b/>
          <w:bCs/>
        </w:rPr>
        <w:t xml:space="preserve">Description</w:t>
      </w:r>
    </w:p>
    <w:p>
      <w:pPr/>
      <w:r>
        <w:rPr/>
        <w:t xml:space="preserve">Lorsqu'un écran de sous toiture est utilisé, préciser que sa mise en œuvre doit être conforme au NF DTU 40.29.Si l'écran bénéficie de la certification QB25, le préciser.</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E12E0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EF3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0D1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9438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2026-05-13T12:23:31+02:00</dcterms:created>
  <dcterms:modified xsi:type="dcterms:W3CDTF">2026-05-13T12:23:31+02:00</dcterms:modified>
</cp:coreProperties>
</file>

<file path=docProps/custom.xml><?xml version="1.0" encoding="utf-8"?>
<Properties xmlns="http://schemas.openxmlformats.org/officeDocument/2006/custom-properties" xmlns:vt="http://schemas.openxmlformats.org/officeDocument/2006/docPropsVTypes"/>
</file>