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3.1 - Édité le 07/05/2026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3.1 « Planchers et accessoires de plancher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Plancher béton préfabriqué avec élégissement</w:t>
      </w:r>
    </w:p>
    <w:p>
      <w:pPr/>
      <w:r>
        <w:rPr>
          <w:rStyle w:val="font_h1"/>
        </w:rPr>
        <w:t xml:space="preserve">1. Domaine d'emploi</w:t>
      </w:r>
    </w:p>
    <w:p>
      <w:pPr/>
      <w:r>
        <w:rPr/>
        <w:t xml:space="preserve">Validé par le Groupe Spécialisé le 29/01/2026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 domaine d'emploi visé :</w:t>
      </w:r>
    </w:p>
    <w:p>
      <w:pPr>
        <w:pPr/>
        <w:numPr>
          <w:ilvl w:val="0"/>
          <w:numId w:val="9"/>
        </w:numPr>
      </w:pPr>
      <w:r>
        <w:rPr/>
        <w:t xml:space="preserve">Types d’ouvrages (localisation du plancher et nature du bâtiment) ; </w:t>
      </w:r>
    </w:p>
    <w:p>
      <w:pPr>
        <w:pPr/>
        <w:numPr>
          <w:ilvl w:val="0"/>
          <w:numId w:val="9"/>
        </w:numPr>
      </w:pPr>
      <w:r>
        <w:rPr/>
        <w:t xml:space="preserve">Fonction principale (plancher intermédiaire, sur vide-sanitaire, support d'étanchéité, support de couverture) ;</w:t>
      </w:r>
    </w:p>
    <w:p>
      <w:pPr>
        <w:pPr/>
        <w:numPr>
          <w:ilvl w:val="0"/>
          <w:numId w:val="9"/>
        </w:numPr>
      </w:pPr>
      <w:r>
        <w:rPr/>
        <w:t xml:space="preserve">Fonctionnement global de la structure, liaisons entre éléments ;</w:t>
      </w:r>
    </w:p>
    <w:p>
      <w:pPr>
        <w:pPr/>
        <w:numPr>
          <w:ilvl w:val="0"/>
          <w:numId w:val="9"/>
        </w:numPr>
      </w:pPr>
      <w:r>
        <w:rPr/>
        <w:t xml:space="preserve">Types de sollicitations (statiques, dynamiques, fatigue, chocs, etc.) ;</w:t>
      </w:r>
    </w:p>
    <w:p>
      <w:pPr>
        <w:pPr/>
        <w:numPr>
          <w:ilvl w:val="0"/>
          <w:numId w:val="9"/>
        </w:numPr>
      </w:pPr>
      <w:r>
        <w:rPr/>
        <w:t xml:space="preserve">Conditions environnementales (classes d’exposition, atmosphères agressives, etc.) ;</w:t>
      </w:r>
    </w:p>
    <w:p>
      <w:pPr>
        <w:pPr/>
        <w:numPr>
          <w:ilvl w:val="0"/>
          <w:numId w:val="9"/>
        </w:numPr>
      </w:pPr>
      <w:r>
        <w:rPr/>
        <w:t xml:space="preserve">Zones géographiques ;</w:t>
      </w:r>
    </w:p>
    <w:p>
      <w:pPr>
        <w:pPr/>
        <w:numPr>
          <w:ilvl w:val="0"/>
          <w:numId w:val="9"/>
        </w:numPr>
      </w:pPr>
      <w:r>
        <w:rPr/>
        <w:t xml:space="preserve">Zones sismiques et catégories d’importance de bâtiments ;</w:t>
      </w:r>
    </w:p>
    <w:p>
      <w:pPr>
        <w:pPr/>
        <w:numPr>
          <w:ilvl w:val="0"/>
          <w:numId w:val="9"/>
        </w:numPr>
      </w:pPr>
      <w:r>
        <w:rPr/>
        <w:t xml:space="preserve">Utilisation revendiquée dans les DROM-PTOM.</w:t>
      </w:r>
    </w:p>
    <w:p>
      <w:pPr/>
      <w:r>
        <w:rPr>
          <w:rStyle w:val="font_h1"/>
        </w:rPr>
        <w:t xml:space="preserve">2. Description</w:t>
      </w:r>
    </w:p>
    <w:p>
      <w:pPr>
        <w:ind w:left="720" w:right="0"/>
      </w:pPr>
      <w:r>
        <w:rPr>
          <w:rStyle w:val="font_h2"/>
        </w:rPr>
        <w:t xml:space="preserve">2.1. Principe</w:t>
      </w:r>
    </w:p>
    <w:p>
      <w:pPr/>
      <w:r>
        <w:rPr/>
        <w:t xml:space="preserve">Validé par le Groupe Spécialisé le 29/01/2026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 système de plancher formé par l’assemblage des éléments préfabriqués (type de dalles, largeur, hauteur minimum et maximum, etc.).</w:t>
      </w:r>
    </w:p>
    <w:p>
      <w:pPr/>
      <w:r>
        <w:rPr/>
        <w:t xml:space="preserve">Identifier les supports visés. </w:t>
      </w:r>
    </w:p>
    <w:p>
      <w:pPr/>
      <w:r>
        <w:rPr/>
        <w:t xml:space="preserve">Expliciter le caractère non traditionnel du procédé.</w:t>
      </w:r>
    </w:p>
    <w:p>
      <w:pPr>
        <w:ind w:left="720" w:right="0"/>
      </w:pPr>
      <w:r>
        <w:rPr>
          <w:rStyle w:val="font_h2"/>
        </w:rPr>
        <w:t xml:space="preserve">2.2. Description des éléments</w:t>
      </w:r>
    </w:p>
    <w:p>
      <w:pPr>
        <w:ind w:left="1440" w:right="0"/>
      </w:pPr>
      <w:r>
        <w:rPr>
          <w:rStyle w:val="font_h3"/>
        </w:rPr>
        <w:t xml:space="preserve">2.2.1. Eléments standards</w:t>
      </w:r>
    </w:p>
    <w:p>
      <w:pPr/>
      <w:r>
        <w:rPr/>
        <w:t xml:space="preserve">Validé par le Groupe Spécialisé le 29/01/2026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produits et accessoires (dimensions et tolérances, accessoires, etc.) et les matériaux constitutifs.</w:t>
      </w:r>
    </w:p>
    <w:p>
      <w:pPr/>
      <w:r>
        <w:rPr/>
        <w:t xml:space="preserve">Pour le béton, préciser la nature du ciment et justifier la conformité à la norme NF EN 206+A2/CN.</w:t>
      </w:r>
    </w:p>
    <w:p>
      <w:pPr/>
      <w:r>
        <w:rPr/>
        <w:t xml:space="preserve">Tous les aciers sont certifiés NF par l’AFCAB ou équivalent et conformes à la norme NF EN 10080.Préciser la classe et la nuance d'acier.</w:t>
      </w:r>
    </w:p>
    <w:p>
      <w:pPr/>
      <w:r>
        <w:rPr/>
        <w:t xml:space="preserve">Les armatures de précontrainte sont homologuées ou bénéficient d’une autorisation de fourniture par le Règlement de Certification des Armatures de Précontrainte (ASQPE) en l’utilisation des torons « clairs ». Décrire sous forme de tableau : Désignation Toron / Section nominale / Classe de résistance / Limite élastique.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Schémas cotés des profils de dalles avec intégration du positionnement des armatures.</w:t>
      </w:r>
    </w:p>
    <w:p>
      <w:pPr>
        <w:ind w:left="1440" w:right="0"/>
      </w:pPr>
      <w:r>
        <w:rPr>
          <w:rStyle w:val="font_h3"/>
        </w:rPr>
        <w:t xml:space="preserve">2.2.2. Eléments spéciaux (le cas échéant)</w:t>
      </w:r>
    </w:p>
    <w:p>
      <w:pPr>
        <w:ind w:left="1440" w:right="0"/>
      </w:pPr>
      <w:r>
        <w:rPr>
          <w:rStyle w:val="font_h3"/>
        </w:rPr>
        <w:t xml:space="preserve">2.2.3. Matériau d'élégissement</w:t>
      </w:r>
    </w:p>
    <w:p>
      <w:pPr/>
      <w:r>
        <w:rPr/>
        <w:t xml:space="preserve">Validé par le Groupe Spécialisé le 29/01/2026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produits d’élégissement (matériaux, dimensions et tolérances, classement de réaction au feu, etc.).</w:t>
      </w:r>
    </w:p>
    <w:p>
      <w:pPr/>
      <w:r>
        <w:rPr/>
        <w:t xml:space="preserve">Le GS n°20 sera consulté dans les cas où le matériau d'élégissement est un matériau biosourcé.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Le risque de développement fongique du matériau biosourcé sera évalué en tenant compte de l'usage du matériau d'élégissement pouvant être spécifique au procédé.</w:t>
      </w:r>
    </w:p>
    <w:p>
      <w:pPr>
        <w:ind w:left="1440" w:right="0"/>
      </w:pPr>
      <w:r>
        <w:rPr>
          <w:rStyle w:val="font_h3"/>
        </w:rPr>
        <w:t xml:space="preserve">2.2.4. Identification</w:t>
      </w:r>
    </w:p>
    <w:p>
      <w:pPr/>
      <w:r>
        <w:rPr/>
        <w:t xml:space="preserve">Validé par le Groupe Spécialisé le 29/01/2026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Détailler la méthode d'identification et marquage des produits.</w:t>
      </w:r>
    </w:p>
    <w:p>
      <w:pPr/>
      <w:r>
        <w:rPr/>
        <w:t xml:space="preserve">Préciser la codification de la désignation des produits.</w:t>
      </w:r>
    </w:p>
    <w:p>
      <w:pPr/>
      <w:r>
        <w:rPr/>
        <w:t xml:space="preserve">Le cas échéant, détailler la méthode d'identification des inserts de levage et marquages.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Produire un exemple d'étiquette.</w:t>
      </w:r>
    </w:p>
    <w:p>
      <w:pPr>
        <w:ind w:left="1440" w:right="0"/>
      </w:pPr>
      <w:r>
        <w:rPr>
          <w:rStyle w:val="font_h3"/>
        </w:rPr>
        <w:t xml:space="preserve">2.2.5. Béton coulé en place</w:t>
      </w:r>
    </w:p>
    <w:p>
      <w:pPr/>
      <w:r>
        <w:rPr/>
        <w:t xml:space="preserve">Validé par le Groupe Spécialisé le 29/01/2026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 béton coulé en place pour la réalisation des clavetages et/ou de la table de compression.</w:t>
      </w:r>
    </w:p>
    <w:p>
      <w:pPr/>
      <w:r>
        <w:rPr/>
        <w:t xml:space="preserve">Préciser :</w:t>
      </w:r>
    </w:p>
    <w:p>
      <w:pPr>
        <w:pPr/>
        <w:numPr>
          <w:ilvl w:val="0"/>
          <w:numId w:val="10"/>
        </w:numPr>
      </w:pPr>
      <w:r>
        <w:rPr/>
        <w:t xml:space="preserve">Granulométrie ;</w:t>
      </w:r>
    </w:p>
    <w:p>
      <w:pPr>
        <w:pPr/>
        <w:numPr>
          <w:ilvl w:val="0"/>
          <w:numId w:val="10"/>
        </w:numPr>
      </w:pPr>
      <w:r>
        <w:rPr/>
        <w:t xml:space="preserve">Dosage ciment  / granulat ;</w:t>
      </w:r>
    </w:p>
    <w:p>
      <w:pPr>
        <w:pPr/>
        <w:numPr>
          <w:ilvl w:val="0"/>
          <w:numId w:val="10"/>
        </w:numPr>
      </w:pPr>
      <w:r>
        <w:rPr/>
        <w:t xml:space="preserve">Résistance en compression à 28 jours ;</w:t>
      </w:r>
    </w:p>
    <w:p>
      <w:pPr>
        <w:pPr/>
        <w:numPr>
          <w:ilvl w:val="0"/>
          <w:numId w:val="10"/>
        </w:numPr>
      </w:pPr>
      <w:r>
        <w:rPr/>
        <w:t xml:space="preserve">Résistance en compression à détension des armatures.</w:t>
      </w:r>
    </w:p>
    <w:p>
      <w:pPr/>
      <w:r>
        <w:rPr/>
        <w:t xml:space="preserve">Préciser la nature du ciment et justifier la conformité à la norme NF EN 206+A2/CN.</w:t>
      </w:r>
    </w:p>
    <w:p>
      <w:pPr/>
      <w:r>
        <w:rPr>
          <w:rStyle w:val="font_h1"/>
        </w:rPr>
        <w:t xml:space="preserve">3. Conception</w:t>
      </w:r>
    </w:p>
    <w:p>
      <w:pPr>
        <w:ind w:left="720" w:right="0"/>
      </w:pPr>
      <w:r>
        <w:rPr>
          <w:rStyle w:val="font_h2"/>
        </w:rPr>
        <w:t xml:space="preserve">3.1. Conception et dimensionnement en situation normale</w:t>
      </w:r>
    </w:p>
    <w:p>
      <w:pPr/>
      <w:r>
        <w:rPr/>
        <w:t xml:space="preserve">Validé par le Groupe Spécialisé le 29/01/2026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les règles de conception du plancher, y compris les règles pour les points singuliers (ouvertures, biais, éléments de rives…) et le traitement éventuel des porte-à-faux.</w:t>
      </w:r>
    </w:p>
    <w:p>
      <w:pPr/>
      <w:r>
        <w:rPr/>
        <w:t xml:space="preserve">Détailler les supports visés (appuis de rives et appuis intermédiaires).</w:t>
      </w:r>
    </w:p>
    <w:p>
      <w:pPr/>
      <w:r>
        <w:rPr/>
        <w:t xml:space="preserve">A minima, détailler les données et éléments d'information à fournir par l’entreprise au titulaire pour réaliser le dimensionnement du plancher, si ce dernier réalise la conception.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Exemple de notes de calcul :</w:t>
      </w:r>
    </w:p>
    <w:p>
      <w:pPr>
        <w:pPr/>
        <w:numPr>
          <w:ilvl w:val="0"/>
          <w:numId w:val="11"/>
        </w:numPr>
      </w:pPr>
      <w:r>
        <w:rPr/>
        <w:t xml:space="preserve">Dimensionnement du plancher en phase définitive et en phase provisoire ;</w:t>
      </w:r>
    </w:p>
    <w:p>
      <w:pPr>
        <w:pPr/>
        <w:numPr>
          <w:ilvl w:val="0"/>
          <w:numId w:val="11"/>
        </w:numPr>
      </w:pPr>
      <w:r>
        <w:rPr/>
        <w:t xml:space="preserve">Vérification des points singuliers ;</w:t>
      </w:r>
    </w:p>
    <w:p>
      <w:pPr>
        <w:pPr/>
        <w:numPr>
          <w:ilvl w:val="0"/>
          <w:numId w:val="11"/>
        </w:numPr>
      </w:pPr>
      <w:r>
        <w:rPr/>
        <w:t xml:space="preserve">Vérification des conditions d’appui en fonction du support ; </w:t>
      </w:r>
    </w:p>
    <w:p>
      <w:pPr>
        <w:pPr/>
        <w:numPr>
          <w:ilvl w:val="0"/>
          <w:numId w:val="11"/>
        </w:numPr>
      </w:pPr>
      <w:r>
        <w:rPr/>
        <w:t xml:space="preserve">Vérification des conditions limites vis-à-vis des revêtements du planchers (traitement des discontinuités éventuelles).</w:t>
      </w:r>
    </w:p>
    <w:p>
      <w:pPr/>
      <w:r>
        <w:rPr/>
        <w:t xml:space="preserve">Schémas et dispositions particulières.</w:t>
      </w:r>
    </w:p>
    <w:p>
      <w:pPr>
        <w:ind w:left="720" w:right="0"/>
      </w:pPr>
      <w:r>
        <w:rPr>
          <w:rStyle w:val="font_h2"/>
        </w:rPr>
        <w:t xml:space="preserve">3.2. Utilisation en zone sismique (le cas échéant)</w:t>
      </w:r>
    </w:p>
    <w:p>
      <w:pPr/>
      <w:r>
        <w:rPr/>
        <w:t xml:space="preserve">Validé par le Groupe Spécialisé le 29/01/2026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Détailler les dispositions à considérer lorsque des exigences sismiques sont applicables aux ouvrages.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Exemple de note de calcul.</w:t>
      </w:r>
    </w:p>
    <w:p>
      <w:pPr>
        <w:ind w:left="720" w:right="0"/>
      </w:pPr>
      <w:r>
        <w:rPr>
          <w:rStyle w:val="font_h2"/>
        </w:rPr>
        <w:t xml:space="preserve">3.3. Résistance au feu (le cas échéant)</w:t>
      </w:r>
    </w:p>
    <w:p>
      <w:pPr/>
      <w:r>
        <w:rPr/>
        <w:t xml:space="preserve">Validé par le Groupe Spécialisé le 29/01/2026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les modalités de prise en compte du risque d'incendie.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Si la norme NF EN 1992-1-2 n'est pas applicable, une Appréciation de Laboratoire de résistance au feu sera requise.</w:t>
      </w:r>
    </w:p>
    <w:p>
      <w:pPr/>
      <w:r>
        <w:rPr/>
        <w:t xml:space="preserve">L’Appréciation de Laboratoire de résistance au feu doit être accompagnée d’un exemple de note de calcul.</w:t>
      </w:r>
    </w:p>
    <w:p>
      <w:pPr>
        <w:ind w:left="720" w:right="0"/>
      </w:pPr>
      <w:r>
        <w:rPr>
          <w:rStyle w:val="font_h2"/>
        </w:rPr>
        <w:t xml:space="preserve">3.4. Trémies</w:t>
      </w:r>
    </w:p>
    <w:p>
      <w:pPr/>
      <w:r>
        <w:rPr/>
        <w:t xml:space="preserve">Validé par le Groupe Spécialisé le 29/01/2026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Détailler les solutions retenues pour le traitement des trémies et des réservations.</w:t>
      </w:r>
    </w:p>
    <w:p>
      <w:pPr>
        <w:ind w:left="720" w:right="0"/>
      </w:pPr>
      <w:r>
        <w:rPr>
          <w:rStyle w:val="font_h2"/>
        </w:rPr>
        <w:t xml:space="preserve">3.5. Porte-à-faux</w:t>
      </w:r>
    </w:p>
    <w:p>
      <w:pPr/>
      <w:r>
        <w:rPr/>
        <w:t xml:space="preserve">Validé par le Groupe Spécialisé le 29/01/2026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Détailler les solutions retenues pour le traitement des porte-à-faux.</w:t>
      </w:r>
    </w:p>
    <w:p>
      <w:pPr/>
      <w:r>
        <w:rPr>
          <w:rStyle w:val="font_h1"/>
        </w:rPr>
        <w:t xml:space="preserve">4. Description de la mise en œuvre</w:t>
      </w:r>
    </w:p>
    <w:p>
      <w:pPr/>
      <w:r>
        <w:rPr/>
        <w:t xml:space="preserve">Validé par le Groupe Spécialisé le 29/01/2026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 mode opératoire du procédé et ses préciser ses spécificités.</w:t>
      </w:r>
    </w:p>
    <w:p>
      <w:pPr/>
      <w:r>
        <w:rPr/>
        <w:t xml:space="preserve">Lister les documents à transmettre à l’entreprise chargée de la mise en œuvre du procédé : </w:t>
      </w:r>
    </w:p>
    <w:p>
      <w:pPr>
        <w:pPr/>
        <w:numPr>
          <w:ilvl w:val="0"/>
          <w:numId w:val="12"/>
        </w:numPr>
      </w:pPr>
      <w:r>
        <w:rPr/>
        <w:t xml:space="preserve">Notice de pose ;</w:t>
      </w:r>
    </w:p>
    <w:p>
      <w:pPr>
        <w:pPr/>
        <w:numPr>
          <w:ilvl w:val="0"/>
          <w:numId w:val="12"/>
        </w:numPr>
      </w:pPr>
      <w:r>
        <w:rPr/>
        <w:t xml:space="preserve">Plan de pose ;</w:t>
      </w:r>
    </w:p>
    <w:p>
      <w:pPr>
        <w:pPr/>
        <w:numPr>
          <w:ilvl w:val="0"/>
          <w:numId w:val="12"/>
        </w:numPr>
      </w:pPr>
      <w:r>
        <w:rPr/>
        <w:t xml:space="preserve">PAQ mise en œuvre ;</w:t>
      </w:r>
    </w:p>
    <w:p>
      <w:pPr>
        <w:pPr/>
        <w:numPr>
          <w:ilvl w:val="0"/>
          <w:numId w:val="12"/>
        </w:numPr>
      </w:pPr>
      <w:r>
        <w:rPr/>
        <w:t xml:space="preserve">Autres documents éventuels.</w:t>
      </w:r>
    </w:p>
    <w:p>
      <w:pPr/>
      <w:r>
        <w:rPr/>
        <w:t xml:space="preserve">Préciser les dispositions adoptées pour veiller au respect des exigences de planéité des supports conformément à la norme NF DTU 21.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Exemple de plan de pose, notice de pose et PAQ de mise en œuvre.</w:t>
      </w:r>
    </w:p>
    <w:p>
      <w:pPr/>
      <w:r>
        <w:rPr/>
        <w:t xml:space="preserve">Exemple de fiche d’auto-contrôle éventuelle.</w:t>
      </w:r>
    </w:p>
    <w:p>
      <w:pPr/>
      <w:r>
        <w:rPr>
          <w:rStyle w:val="font_h1"/>
        </w:rPr>
        <w:t xml:space="preserve">5. Traitement en fin de vie</w:t>
      </w:r>
    </w:p>
    <w:p>
      <w:pPr/>
      <w:r>
        <w:rPr/>
        <w:t xml:space="preserve">Validé par le Groupe Spécialisé le 29/01/2026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Justification des performances environnementales (caractérisation de la performance intrinsèque du système). </w:t>
      </w:r>
    </w:p>
    <w:p>
      <w:pPr/>
      <w:r>
        <w:rPr/>
        <w:t xml:space="preserve">Déclaration environnementale (FDES).</w:t>
      </w:r>
    </w:p>
    <w:p>
      <w:pPr/>
      <w:r>
        <w:rPr>
          <w:rStyle w:val="font_h1"/>
        </w:rPr>
        <w:t xml:space="preserve">6. Conditions d'exploitation et assistance technique</w:t>
      </w:r>
    </w:p>
    <w:p>
      <w:pPr>
        <w:ind w:left="720" w:right="0"/>
      </w:pPr>
      <w:r>
        <w:rPr>
          <w:rStyle w:val="font_h2"/>
        </w:rPr>
        <w:t xml:space="preserve">6.1. Rôle des intervenants</w:t>
      </w:r>
    </w:p>
    <w:p>
      <w:pPr/>
      <w:r>
        <w:rPr/>
        <w:t xml:space="preserve">Validé par le Groupe Spécialisé le 29/01/2026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le rôle du titulaire, du potentiel bureau d’étude externe et de l’entreprise.</w:t>
      </w:r>
    </w:p>
    <w:p>
      <w:pPr>
        <w:ind w:left="720" w:right="0"/>
      </w:pPr>
      <w:r>
        <w:rPr>
          <w:rStyle w:val="font_h2"/>
        </w:rPr>
        <w:t xml:space="preserve">6.2. Assistance technique</w:t>
      </w:r>
    </w:p>
    <w:p>
      <w:pPr/>
      <w:r>
        <w:rPr/>
        <w:t xml:space="preserve">Validé par le Groupe Spécialisé le 29/01/2026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la documentation fournie par le titulaire aux différents intervenants.</w:t>
      </w:r>
    </w:p>
    <w:p>
      <w:pPr/>
      <w:r>
        <w:rPr/>
        <w:t xml:space="preserve">Préciser si une formation est nécessaire pour garantir la bonne mise en œuvre du procédé.</w:t>
      </w:r>
    </w:p>
    <w:p>
      <w:pPr/>
      <w:r>
        <w:rPr>
          <w:rStyle w:val="font_h1"/>
        </w:rPr>
        <w:t xml:space="preserve">7. Fabrication et contrôles</w:t>
      </w:r>
    </w:p>
    <w:p>
      <w:pPr>
        <w:ind w:left="720" w:right="0"/>
      </w:pPr>
      <w:r>
        <w:rPr>
          <w:rStyle w:val="font_h2"/>
        </w:rPr>
        <w:t xml:space="preserve">7.1. Fabrication des produits</w:t>
      </w:r>
    </w:p>
    <w:p>
      <w:pPr>
        <w:ind w:left="720" w:right="0"/>
      </w:pPr>
      <w:r>
        <w:rPr>
          <w:rStyle w:val="font_h2"/>
        </w:rPr>
        <w:t xml:space="preserve">7.2. Contrôles</w:t>
      </w:r>
    </w:p>
    <w:p>
      <w:pPr/>
      <w:r>
        <w:rPr/>
        <w:t xml:space="preserve">Validé par le Groupe Spécialisé le 29/01/2026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Détailler les modalités de contrôle interne et le suivi par tierce partie le cas échéant.</w:t>
      </w:r>
    </w:p>
    <w:p>
      <w:pPr/>
      <w:r>
        <w:rPr/>
        <w:t xml:space="preserve">Si une certification est prévue, préciser les produits soumis au plan de contrôle interne prévu par le référentiel de la certification.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Plan d’assurance qualité (PAQ) de la fabrication et registres de contrôles.</w:t>
      </w:r>
    </w:p>
    <w:p>
      <w:pPr/>
      <w:r>
        <w:rPr/>
        <w:t xml:space="preserve">Certificat le cas échéant.</w:t>
      </w:r>
    </w:p>
    <w:p>
      <w:pPr/>
      <w:r>
        <w:rPr/>
        <w:t xml:space="preserve">Identification des sites de fabrication</w:t>
      </w:r>
    </w:p>
    <w:p>
      <w:pPr>
        <w:ind w:left="720" w:right="0"/>
      </w:pPr>
      <w:r>
        <w:rPr>
          <w:rStyle w:val="font_h2"/>
        </w:rPr>
        <w:t xml:space="preserve">7.3. Manutention et stockage des éléments préfabriqués</w:t>
      </w:r>
    </w:p>
    <w:p>
      <w:pPr/>
      <w:r>
        <w:rPr/>
        <w:t xml:space="preserve">Validé par le Groupe Spécialisé le 29/01/2026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les conditions de manutention et de stockage.</w:t>
      </w:r>
    </w:p>
    <w:p>
      <w:pPr/>
      <w:r>
        <w:rPr/>
        <w:t xml:space="preserve">Détailler les préconisations de manutention et de stockage.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Justifier la CMU des inserts de levage.</w:t>
      </w:r>
    </w:p>
    <w:p>
      <w:pPr/>
      <w:r>
        <w:rPr/>
        <w:t xml:space="preserve">Notice de pose.</w:t>
      </w:r>
    </w:p>
    <w:p>
      <w:pPr/>
      <w:r>
        <w:rPr>
          <w:rStyle w:val="font_h1"/>
        </w:rPr>
        <w:t xml:space="preserve">8. Finitions</w:t>
      </w:r>
    </w:p>
    <w:p>
      <w:pPr>
        <w:ind w:left="720" w:right="0"/>
      </w:pPr>
      <w:r>
        <w:rPr>
          <w:rStyle w:val="font_h2"/>
        </w:rPr>
        <w:t xml:space="preserve">8.1. Sols</w:t>
      </w:r>
    </w:p>
    <w:p>
      <w:pPr/>
      <w:r>
        <w:rPr/>
        <w:t xml:space="preserve">Validé par le Groupe Spécialisé le 29/01/2026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Détailler les finitions admises et préciser les limites de flèche ainsi que le traitement de la continuité des planchers.</w:t>
      </w:r>
    </w:p>
    <w:p>
      <w:pPr>
        <w:ind w:left="720" w:right="0"/>
      </w:pPr>
      <w:r>
        <w:rPr>
          <w:rStyle w:val="font_h2"/>
        </w:rPr>
        <w:t xml:space="preserve">8.2. Plafonds</w:t>
      </w:r>
    </w:p>
    <w:p>
      <w:pPr/>
      <w:r>
        <w:rPr/>
        <w:t xml:space="preserve">Validé par le Groupe Spécialisé le 29/01/2026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finitions admises en sous-face et préciser les possibilités de fixation en sous-face.</w:t>
      </w:r>
    </w:p>
    <w:p>
      <w:pPr/>
      <w:r>
        <w:rPr>
          <w:rStyle w:val="font_h1"/>
        </w:rPr>
        <w:t xml:space="preserve">9. Cas des toitures terrasses (le cas échéant)</w:t>
      </w:r>
    </w:p>
    <w:p>
      <w:pPr/>
      <w:r>
        <w:rPr/>
        <w:t xml:space="preserve">Validé par le Groupe Spécialisé le 29/01/2026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Lister les destinations visées lorsque les éléments de planchers peuvent être utilisés comme éléments porteurs de toiture et support de l’étanchéité pour les destinations suivantes. </w:t>
      </w:r>
    </w:p>
    <w:p>
      <w:pPr/>
      <w:r>
        <w:rPr/>
        <w:t xml:space="preserve">Préciser :  </w:t>
      </w:r>
    </w:p>
    <w:p>
      <w:pPr>
        <w:pPr/>
        <w:numPr>
          <w:ilvl w:val="0"/>
          <w:numId w:val="13"/>
        </w:numPr>
      </w:pPr>
      <w:r>
        <w:rPr/>
        <w:t xml:space="preserve">Traitements d'étanchéité ;  </w:t>
      </w:r>
    </w:p>
    <w:p>
      <w:pPr>
        <w:pPr/>
        <w:numPr>
          <w:ilvl w:val="0"/>
          <w:numId w:val="13"/>
        </w:numPr>
      </w:pPr>
      <w:r>
        <w:rPr/>
        <w:t xml:space="preserve">Les dispositifs de collecte et d’évacuation des eaux pluviales et les pénétrations ;  </w:t>
      </w:r>
    </w:p>
    <w:p>
      <w:pPr>
        <w:pPr/>
        <w:numPr>
          <w:ilvl w:val="0"/>
          <w:numId w:val="13"/>
        </w:numPr>
      </w:pPr>
      <w:r>
        <w:rPr/>
        <w:t xml:space="preserve">Traitement des zones d'appuis et de joints ;  </w:t>
      </w:r>
    </w:p>
    <w:p>
      <w:pPr>
        <w:pPr/>
        <w:numPr>
          <w:ilvl w:val="0"/>
          <w:numId w:val="13"/>
        </w:numPr>
      </w:pPr>
      <w:r>
        <w:rPr/>
        <w:t xml:space="preserve">Traitement des points singuliers (reliefs, retombées, chéneaux, joints de dilatation, évacuations, pénétrations, etc.).</w:t>
      </w:r>
    </w:p>
    <w:p>
      <w:pPr/>
      <w:r>
        <w:rPr/>
        <w:t xml:space="preserve">Lorsqu'elle est nécessaire, une consultation du GS n°5.2 sera réalisée.</w:t>
      </w:r>
    </w:p>
    <w:p>
      <w:pPr/>
      <w:r>
        <w:rPr>
          <w:rStyle w:val="font_h1"/>
        </w:rPr>
        <w:t xml:space="preserve">10. Acoustique</w:t>
      </w:r>
    </w:p>
    <w:p>
      <w:pPr/>
      <w:r>
        <w:rPr/>
        <w:t xml:space="preserve">Validé par le Groupe Spécialisé le 29/01/2026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Justification des performances acoustiques (caractérisation de la performance acoustique intrinsèque du système (niveau de bruit d’impact, indice d’affaiblissement acoustique).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Essais ou valeurs génériques.</w:t>
      </w:r>
    </w:p>
    <w:p>
      <w:pPr/>
      <w:r>
        <w:rPr>
          <w:rStyle w:val="font_h1"/>
        </w:rPr>
        <w:t xml:space="preserve">11. Références</w:t>
      </w:r>
    </w:p>
    <w:p>
      <w:pPr/>
      <w:r>
        <w:rPr/>
        <w:t xml:space="preserve">Validé par le Groupe Spécialisé le 29/01/2026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Fourniture d’une liste de référence pour la réalisation d’une enquête chantier. Les références doivent être représentatives du domaine d’emploi revendiqué. </w:t>
      </w:r>
    </w:p>
    <w:p>
      <w:pPr/>
      <w:r>
        <w:rPr/>
        <w:t xml:space="preserve">Préciser pour chaque référence :</w:t>
      </w:r>
    </w:p>
    <w:p>
      <w:pPr>
        <w:pPr/>
        <w:numPr>
          <w:ilvl w:val="0"/>
          <w:numId w:val="14"/>
        </w:numPr>
      </w:pPr>
      <w:r>
        <w:rPr/>
        <w:t xml:space="preserve">Date mise en œuvre ;</w:t>
      </w:r>
    </w:p>
    <w:p>
      <w:pPr>
        <w:pPr/>
        <w:numPr>
          <w:ilvl w:val="0"/>
          <w:numId w:val="14"/>
        </w:numPr>
      </w:pPr>
      <w:r>
        <w:rPr/>
        <w:t xml:space="preserve">Date réception ;</w:t>
      </w:r>
    </w:p>
    <w:p>
      <w:pPr>
        <w:pPr/>
        <w:numPr>
          <w:ilvl w:val="0"/>
          <w:numId w:val="14"/>
        </w:numPr>
      </w:pPr>
      <w:r>
        <w:rPr/>
        <w:t xml:space="preserve">Lieu ;</w:t>
      </w:r>
    </w:p>
    <w:p>
      <w:pPr>
        <w:pPr/>
        <w:numPr>
          <w:ilvl w:val="0"/>
          <w:numId w:val="14"/>
        </w:numPr>
      </w:pPr>
      <w:r>
        <w:rPr/>
        <w:t xml:space="preserve">Maître d'Ouvrage (nom+coord.) ;</w:t>
      </w:r>
    </w:p>
    <w:p>
      <w:pPr>
        <w:pPr/>
        <w:numPr>
          <w:ilvl w:val="0"/>
          <w:numId w:val="14"/>
        </w:numPr>
      </w:pPr>
      <w:r>
        <w:rPr/>
        <w:t xml:space="preserve">Maître d'Œuvre (nom+coord.) ;</w:t>
      </w:r>
    </w:p>
    <w:p>
      <w:pPr>
        <w:pPr/>
        <w:numPr>
          <w:ilvl w:val="0"/>
          <w:numId w:val="14"/>
        </w:numPr>
      </w:pPr>
      <w:r>
        <w:rPr/>
        <w:t xml:space="preserve">Entreprise (nom+coord.) ;</w:t>
      </w:r>
    </w:p>
    <w:p>
      <w:pPr>
        <w:pPr/>
        <w:numPr>
          <w:ilvl w:val="0"/>
          <w:numId w:val="14"/>
        </w:numPr>
      </w:pPr>
      <w:r>
        <w:rPr/>
        <w:t xml:space="preserve">Contrôleur technique (nom+coord.) ;</w:t>
      </w:r>
    </w:p>
    <w:p>
      <w:pPr>
        <w:pPr/>
        <w:numPr>
          <w:ilvl w:val="0"/>
          <w:numId w:val="14"/>
        </w:numPr>
      </w:pPr>
      <w:r>
        <w:rPr/>
        <w:t xml:space="preserve">Rôle du titulaire (fabricant, poseur, etc.) ;</w:t>
      </w:r>
    </w:p>
    <w:p>
      <w:pPr>
        <w:pPr/>
        <w:numPr>
          <w:ilvl w:val="0"/>
          <w:numId w:val="14"/>
        </w:numPr>
      </w:pPr>
      <w:r>
        <w:rPr/>
        <w:t xml:space="preserve">Type de bâtiment/ouvrage (nb niveaux, super et/ou infra) ;</w:t>
      </w:r>
    </w:p>
    <w:p>
      <w:pPr>
        <w:pPr/>
        <w:numPr>
          <w:ilvl w:val="0"/>
          <w:numId w:val="14"/>
        </w:numPr>
      </w:pPr>
      <w:r>
        <w:rPr/>
        <w:t xml:space="preserve">Surface/quantité mise en œuvre ;</w:t>
      </w:r>
    </w:p>
    <w:p>
      <w:pPr>
        <w:pPr/>
        <w:numPr>
          <w:ilvl w:val="0"/>
          <w:numId w:val="14"/>
        </w:numPr>
      </w:pPr>
      <w:r>
        <w:rPr/>
        <w:t xml:space="preserve">Particularités (type de produit, gamme, etc.) ;</w:t>
      </w:r>
    </w:p>
    <w:p>
      <w:pPr>
        <w:pPr/>
        <w:numPr>
          <w:ilvl w:val="0"/>
          <w:numId w:val="14"/>
        </w:numPr>
      </w:pPr>
      <w:r>
        <w:rPr/>
        <w:t xml:space="preserve">Désordres éventuels/difficultés particulières.</w:t>
      </w:r>
    </w:p>
    <w:p>
      <w:pPr/>
      <w:r>
        <w:rPr>
          <w:rStyle w:val="font_h1"/>
        </w:rPr>
        <w:t xml:space="preserve">12. Schémas du Dossier Technique</w:t>
      </w:r>
    </w:p>
    <w:p>
      <w:pPr/>
      <w:r>
        <w:rPr/>
        <w:t xml:space="preserve">Validé par le Groupe Spécialisé le 29/01/2026</w:t>
      </w:r>
    </w:p>
    <w:p>
      <w:pPr/>
      <w:r>
        <w:rPr>
          <w:b/>
          <w:bCs/>
        </w:rPr>
        <w:t xml:space="preserve">Description</w:t>
      </w:r>
    </w:p>
    <w:p>
      <w:pPr>
        <w:pPr/>
        <w:numPr>
          <w:ilvl w:val="0"/>
          <w:numId w:val="15"/>
        </w:numPr>
      </w:pPr>
      <w:r>
        <w:rPr/>
        <w:t xml:space="preserve">Eléments composant béton ;</w:t>
      </w:r>
    </w:p>
    <w:p>
      <w:pPr>
        <w:pPr/>
        <w:numPr>
          <w:ilvl w:val="0"/>
          <w:numId w:val="15"/>
        </w:numPr>
      </w:pPr>
      <w:r>
        <w:rPr/>
        <w:t xml:space="preserve">Géométrie et ferraillage des éléments ;</w:t>
      </w:r>
    </w:p>
    <w:p>
      <w:pPr>
        <w:pPr/>
        <w:numPr>
          <w:ilvl w:val="0"/>
          <w:numId w:val="15"/>
        </w:numPr>
      </w:pPr>
      <w:r>
        <w:rPr/>
        <w:t xml:space="preserve">Coupes sur appuis ;</w:t>
      </w:r>
    </w:p>
    <w:p>
      <w:pPr>
        <w:pPr/>
        <w:numPr>
          <w:ilvl w:val="0"/>
          <w:numId w:val="15"/>
        </w:numPr>
      </w:pPr>
      <w:r>
        <w:rPr/>
        <w:t xml:space="preserve">Principe de pose d'un plancher ;</w:t>
      </w:r>
    </w:p>
    <w:p>
      <w:pPr>
        <w:pPr/>
        <w:numPr>
          <w:ilvl w:val="0"/>
          <w:numId w:val="15"/>
        </w:numPr>
      </w:pPr>
      <w:r>
        <w:rPr/>
        <w:t xml:space="preserve">Principe de ferraillage d'une table de compression d'un plancher ;</w:t>
      </w:r>
    </w:p>
    <w:p>
      <w:pPr>
        <w:pPr/>
        <w:numPr>
          <w:ilvl w:val="0"/>
          <w:numId w:val="15"/>
        </w:numPr>
      </w:pPr>
      <w:r>
        <w:rPr/>
        <w:t xml:space="preserve">Principe d'étanchéité des planchers toiture-terrasse.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Schémas cotés.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30D17E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5F720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B1AB1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E55FD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AFF8E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BC7ED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B65E7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2026-05-07T16:13:00+02:00</dcterms:created>
  <dcterms:modified xsi:type="dcterms:W3CDTF">2026-05-07T16:13:00+02:00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