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Coffre de volet roulant intégré à la maçonnerie</w:t>
      </w:r>
    </w:p>
    <w:p>
      <w:pPr/>
      <w:r>
        <w:rPr>
          <w:rStyle w:val="font_h1"/>
        </w:rPr>
        <w:t xml:space="preserve">1. Guide d'évaluation des coffres de volet roulant</w:t>
      </w:r>
    </w:p>
    <w:p>
      <w:pPr/>
      <w:r>
        <w:rPr/>
        <w:t xml:space="preserve">Validé par le Groupe Spécialisé le 16/02/2018</w:t>
      </w:r>
    </w:p>
    <w:p>
      <w:pPr/>
      <w:r>
        <w:rPr>
          <w:b/>
          <w:bCs/>
        </w:rPr>
        <w:t xml:space="preserve">Description</w:t>
      </w:r>
    </w:p>
    <w:p>
      <w:pPr/>
      <w:r>
        <w:rPr/>
        <w:t xml:space="preserve">La famille des coffres de volet roulant bénéficie d'un guide d'évaluation publié sur le site de la CCFAT.</w:t>
      </w:r>
    </w:p>
    <w:p>
      <w:pPr/>
      <w:r>
        <w:rPr>
          <w:rStyle w:val="font_h1"/>
        </w:rPr>
        <w:t xml:space="preserve">2. Évolution de la jurisprudence en 2018</w:t>
      </w:r>
    </w:p>
    <w:p>
      <w:pPr/>
      <w:r>
        <w:rPr>
          <w:rStyle w:val="font_h1"/>
        </w:rPr>
        <w:t xml:space="preserve">3. Principe</w:t>
      </w:r>
    </w:p>
    <w:p>
      <w:pPr>
        <w:ind w:left="720" w:right="0"/>
      </w:pPr>
      <w:r>
        <w:rPr>
          <w:rStyle w:val="font_h2"/>
        </w:rPr>
        <w:t xml:space="preserve">3.1. Description</w:t>
      </w:r>
    </w:p>
    <w:p>
      <w:pPr>
        <w:ind w:left="720" w:right="0"/>
      </w:pPr>
      <w:r>
        <w:rPr>
          <w:rStyle w:val="font_h2"/>
        </w:rPr>
        <w:t xml:space="preserve">3.2. Identification</w:t>
      </w:r>
    </w:p>
    <w:p>
      <w:pPr/>
      <w:r>
        <w:rPr>
          <w:rStyle w:val="font_h1"/>
        </w:rPr>
        <w:t xml:space="preserve">4. Domaine d’emploi</w:t>
      </w:r>
    </w:p>
    <w:p>
      <w:pPr/>
      <w:r>
        <w:rPr/>
        <w:t xml:space="preserve">Validé par le Groupe Spécialisé le 16/02/2018</w:t>
      </w:r>
    </w:p>
    <w:p>
      <w:pPr/>
      <w:r>
        <w:rPr>
          <w:b/>
          <w:bCs/>
        </w:rPr>
        <w:t xml:space="preserve">Description</w:t>
      </w:r>
    </w:p>
    <w:p>
      <w:pPr/>
      <w:r>
        <w:rPr/>
        <w:t xml:space="preserve">Si le domaine d'emploi du procédé vise les ERP nécessitant un degré de réaction au feu en façade, il est nécessaire de présenter un essai de réaction au feu du coffre avec au moins un des revêtements visés.</w:t>
      </w:r>
    </w:p>
    <w:p>
      <w:pPr/>
      <w:r>
        <w:rPr>
          <w:b/>
          <w:bCs/>
        </w:rPr>
        <w:t xml:space="preserve">Justification</w:t>
      </w:r>
    </w:p>
    <w:p>
      <w:pPr/>
      <w:r>
        <w:rPr/>
        <w:t xml:space="preserve">PV de réaction au feu émanant d'un laboratoire agréé.</w:t>
      </w:r>
    </w:p>
    <w:p>
      <w:pPr/>
      <w:r>
        <w:rPr>
          <w:rStyle w:val="font_h1"/>
        </w:rPr>
        <w:t xml:space="preserve">5. Matériaux</w:t>
      </w:r>
    </w:p>
    <w:p>
      <w:pPr>
        <w:ind w:left="720" w:right="0"/>
      </w:pPr>
      <w:r>
        <w:rPr>
          <w:rStyle w:val="font_h2"/>
        </w:rPr>
        <w:t xml:space="preserve">5.1. Coque du coffre</w:t>
      </w:r>
    </w:p>
    <w:p>
      <w:pPr>
        <w:ind w:left="720" w:right="0"/>
      </w:pPr>
      <w:r>
        <w:rPr>
          <w:rStyle w:val="font_h2"/>
        </w:rPr>
        <w:t xml:space="preserve">5.2. Joues latérales</w:t>
      </w:r>
    </w:p>
    <w:p>
      <w:pPr>
        <w:ind w:left="720" w:right="0"/>
      </w:pPr>
      <w:r>
        <w:rPr>
          <w:rStyle w:val="font_h2"/>
        </w:rPr>
        <w:t xml:space="preserve">5.3. Accessoires</w:t>
      </w:r>
    </w:p>
    <w:p>
      <w:pPr/>
      <w:r>
        <w:rPr>
          <w:rStyle w:val="font_h1"/>
        </w:rPr>
        <w:t xml:space="preserve">6. Eléments</w:t>
      </w:r>
    </w:p>
    <w:p>
      <w:pPr/>
      <w:r>
        <w:rPr>
          <w:rStyle w:val="font_h1"/>
        </w:rPr>
        <w:t xml:space="preserve">7. Fabrication - Contrôles</w:t>
      </w:r>
    </w:p>
    <w:p>
      <w:pPr/>
      <w:r>
        <w:rPr>
          <w:rStyle w:val="font_h1"/>
        </w:rPr>
        <w:t xml:space="preserve">8. Mise en œuvre</w:t>
      </w:r>
    </w:p>
    <w:p>
      <w:pPr>
        <w:ind w:left="720" w:right="0"/>
      </w:pPr>
      <w:r>
        <w:rPr>
          <w:rStyle w:val="font_h2"/>
        </w:rPr>
        <w:t xml:space="preserve">8.1. Mode de pose</w:t>
      </w:r>
    </w:p>
    <w:p>
      <w:pPr>
        <w:ind w:left="720" w:right="0"/>
      </w:pPr>
      <w:r>
        <w:rPr>
          <w:rStyle w:val="font_h2"/>
        </w:rPr>
        <w:t xml:space="preserve">8.2. Raccordement des menuiseries</w:t>
      </w:r>
    </w:p>
    <w:p>
      <w:pPr>
        <w:ind w:left="720" w:right="0"/>
      </w:pPr>
      <w:r>
        <w:rPr>
          <w:rStyle w:val="font_h2"/>
        </w:rPr>
        <w:t xml:space="preserve">8.3. Perméabilité à l’air</w:t>
      </w:r>
    </w:p>
    <w:p>
      <w:pPr>
        <w:ind w:left="720" w:right="0"/>
      </w:pPr>
      <w:r>
        <w:rPr>
          <w:rStyle w:val="font_h2"/>
        </w:rPr>
        <w:t xml:space="preserve">8.4. Sous-face</w:t>
      </w:r>
    </w:p>
    <w:p>
      <w:pPr>
        <w:ind w:left="720" w:right="0"/>
      </w:pPr>
      <w:r>
        <w:rPr>
          <w:rStyle w:val="font_h2"/>
        </w:rPr>
        <w:t xml:space="preserve">8.5. Coffres brise-soleil</w:t>
      </w:r>
    </w:p>
    <w:p>
      <w:pPr>
        <w:ind w:left="720" w:right="0"/>
      </w:pPr>
      <w:r>
        <w:rPr>
          <w:rStyle w:val="font_h2"/>
        </w:rPr>
        <w:t xml:space="preserve">8.6. Revêtements extérieurs</w:t>
      </w:r>
    </w:p>
    <w:p>
      <w:pPr>
        <w:ind w:left="720" w:right="0"/>
      </w:pPr>
      <w:r>
        <w:rPr>
          <w:rStyle w:val="font_h2"/>
        </w:rPr>
        <w:t xml:space="preserve">8.7. Finitions intérieures</w:t>
      </w:r>
    </w:p>
    <w:p>
      <w:pPr>
        <w:ind w:left="720" w:right="0"/>
      </w:pPr>
      <w:r>
        <w:rPr>
          <w:rStyle w:val="font_h2"/>
        </w:rPr>
        <w:t xml:space="preserve">8.8. Traitement sismique</w:t>
      </w:r>
    </w:p>
    <w:p>
      <w:pPr>
        <w:ind w:left="720" w:right="0"/>
      </w:pPr>
      <w:r>
        <w:rPr>
          <w:rStyle w:val="font_h2"/>
        </w:rPr>
        <w:t xml:space="preserve">8.9. Option</w:t>
      </w:r>
    </w:p>
    <w:p>
      <w:pPr/>
      <w:r>
        <w:rPr>
          <w:rStyle w:val="font_h1"/>
        </w:rPr>
        <w:t xml:space="preserve">9. Assistance technique</w:t>
      </w:r>
    </w:p>
    <w:p>
      <w:pPr>
        <w:ind w:left="720" w:right="0"/>
      </w:pPr>
      <w:r>
        <w:rPr>
          <w:rStyle w:val="font_h2"/>
        </w:rPr>
        <w:t xml:space="preserve">9.1. Assistance technique à la vente</w:t>
      </w:r>
    </w:p>
    <w:p>
      <w:pPr>
        <w:ind w:left="720" w:right="0"/>
      </w:pPr>
      <w:r>
        <w:rPr>
          <w:rStyle w:val="font_h2"/>
        </w:rPr>
        <w:t xml:space="preserve">9.2. Assistance technique à la fabrication</w:t>
      </w:r>
    </w:p>
    <w:p>
      <w:pPr>
        <w:ind w:left="720" w:right="0"/>
      </w:pPr>
      <w:r>
        <w:rPr>
          <w:rStyle w:val="font_h2"/>
        </w:rPr>
        <w:t xml:space="preserve">9.3. Assistance technique sur le chantier</w:t>
      </w:r>
    </w:p>
    <w:p>
      <w:pPr>
        <w:ind w:left="720" w:right="0"/>
      </w:pPr>
      <w:r>
        <w:rPr>
          <w:rStyle w:val="font_h2"/>
        </w:rPr>
        <w:t xml:space="preserve">9.4. Assistance technique à distance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2026-05-05T09:03:21+02:00</dcterms:created>
  <dcterms:modified xsi:type="dcterms:W3CDTF">2026-05-05T09:03:21+02:00</dcterms:modified>
</cp:coreProperties>
</file>

<file path=docProps/custom.xml><?xml version="1.0" encoding="utf-8"?>
<Properties xmlns="http://schemas.openxmlformats.org/officeDocument/2006/custom-properties" xmlns:vt="http://schemas.openxmlformats.org/officeDocument/2006/docPropsVTypes"/>
</file>