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16 - Édité le 23/06/2026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16 « Produits et Procédés spéciaux pour la maçonnerie »</w:t>
      </w:r>
    </w:p>
    <w:p>
      <w:pPr/>
      <w:r>
        <w:rPr>
          <w:rStyle w:val="font_default"/>
        </w:rPr>
        <w:t xml:space="preserve">Famille de produits ou procédés : </w:t>
      </w:r>
      <w:r>
        <w:rPr>
          <w:rStyle w:val="font_h3"/>
        </w:rPr>
        <w:t xml:space="preserve">Habillage de façade</w:t>
      </w:r>
    </w:p>
    <w:p>
      <w:pPr/>
      <w:r>
        <w:rPr>
          <w:rStyle w:val="font_h1"/>
        </w:rPr>
        <w:t xml:space="preserve">1. Description succincte</w:t>
      </w:r>
    </w:p>
    <w:p>
      <w:pPr/>
      <w:r>
        <w:rPr>
          <w:rStyle w:val="font_h1"/>
        </w:rPr>
        <w:t xml:space="preserve">2. Domaine d'emploi revendiqué</w:t>
      </w:r>
    </w:p>
    <w:p>
      <w:pPr/>
      <w:r>
        <w:rPr/>
        <w:t xml:space="preserve">Validé par le Groupe Spécialisé le 27/11/2018</w:t>
      </w:r>
    </w:p>
    <w:p>
      <w:pPr/>
      <w:r>
        <w:rPr>
          <w:b/>
          <w:bCs/>
        </w:rPr>
        <w:t xml:space="preserve">Description</w:t>
      </w:r>
    </w:p>
    <w:p>
      <w:pPr>
        <w:pPr/>
        <w:numPr>
          <w:ilvl w:val="0"/>
          <w:numId w:val="9"/>
        </w:numPr>
      </w:pPr>
      <w:r>
        <w:rPr/>
        <w:t xml:space="preserve">types d’ouvrages (catégories de bâtiments d’habitations et d’ERP, hauteur maximale des ouvrages visés…) ;</w:t>
      </w:r>
    </w:p>
    <w:p>
      <w:pPr>
        <w:pPr/>
        <w:numPr>
          <w:ilvl w:val="0"/>
          <w:numId w:val="9"/>
        </w:numPr>
      </w:pPr>
      <w:r>
        <w:rPr/>
        <w:t xml:space="preserve">types de supports (mur béton, maçonnerie…) ;</w:t>
      </w:r>
    </w:p>
    <w:p>
      <w:pPr>
        <w:pPr/>
        <w:numPr>
          <w:ilvl w:val="0"/>
          <w:numId w:val="9"/>
        </w:numPr>
      </w:pPr>
      <w:r>
        <w:rPr/>
        <w:t xml:space="preserve">localisation (France métropolitaine, DOM TOM, zones de sismicité) ;</w:t>
      </w:r>
    </w:p>
    <w:p>
      <w:pPr/>
      <w:r>
        <w:rPr>
          <w:b/>
          <w:bCs/>
        </w:rPr>
        <w:t xml:space="preserve">Justification</w:t>
      </w:r>
    </w:p>
    <w:p>
      <w:pPr/>
      <w:r>
        <w:rPr/>
        <w:t xml:space="preserve">Références</w:t>
      </w:r>
    </w:p>
    <w:p>
      <w:pPr/>
      <w:r>
        <w:rPr>
          <w:rStyle w:val="font_h1"/>
        </w:rPr>
        <w:t xml:space="preserve">3. Matériaux</w:t>
      </w:r>
    </w:p>
    <w:p>
      <w:pPr>
        <w:ind w:left="720" w:right="0"/>
      </w:pPr>
      <w:r>
        <w:rPr>
          <w:rStyle w:val="font_h2"/>
        </w:rPr>
        <w:t xml:space="preserve">3.1. Eléments d'habillage</w:t>
      </w:r>
    </w:p>
    <w:p>
      <w:pPr/>
      <w:r>
        <w:rPr/>
        <w:t xml:space="preserve">Validé par le Groupe Spécialisé le 27/11/2018</w:t>
      </w:r>
    </w:p>
    <w:p>
      <w:pPr/>
      <w:r>
        <w:rPr>
          <w:b/>
          <w:bCs/>
        </w:rPr>
        <w:t xml:space="preserve">Description</w:t>
      </w:r>
    </w:p>
    <w:p>
      <w:pPr/>
      <w:r>
        <w:rPr/>
        <w:t xml:space="preserve">Matériau : nature, formulationCaractéristiques mécaniquesDurabilitéCoefficient de dilatation thermiqueStabilité dimensionnelle</w:t>
      </w:r>
    </w:p>
    <w:p>
      <w:pPr/>
      <w:r>
        <w:rPr>
          <w:b/>
          <w:bCs/>
        </w:rPr>
        <w:t xml:space="preserve">Justification</w:t>
      </w:r>
    </w:p>
    <w:p>
      <w:pPr/>
      <w:r>
        <w:rPr/>
        <w:t xml:space="preserve">Rapport d'essais de caractérisation du matériau : résistance à la flexion à l'état initial et à l'état vieilli, essai de choc, stabilité dimensionnelle</w:t>
      </w:r>
    </w:p>
    <w:p>
      <w:pPr>
        <w:ind w:left="720" w:right="0"/>
      </w:pPr>
      <w:r>
        <w:rPr>
          <w:rStyle w:val="font_h2"/>
        </w:rPr>
        <w:t xml:space="preserve">3.2. Dispositifs de manutention</w:t>
      </w:r>
    </w:p>
    <w:p>
      <w:pPr/>
      <w:r>
        <w:rPr/>
        <w:t xml:space="preserve">Validé par le Groupe Spécialisé le 27/11/2018</w:t>
      </w:r>
    </w:p>
    <w:p>
      <w:pPr/>
      <w:r>
        <w:rPr>
          <w:b/>
          <w:bCs/>
        </w:rPr>
        <w:t xml:space="preserve">Description</w:t>
      </w:r>
    </w:p>
    <w:p>
      <w:pPr/>
      <w:r>
        <w:rPr/>
        <w:t xml:space="preserve">Description des inserts de levageDescription des appareils de levageRésistance à l'arrachement des inserts de levage</w:t>
      </w:r>
    </w:p>
    <w:p>
      <w:pPr/>
      <w:r>
        <w:rPr>
          <w:b/>
          <w:bCs/>
        </w:rPr>
        <w:t xml:space="preserve">Justification</w:t>
      </w:r>
    </w:p>
    <w:p>
      <w:pPr/>
      <w:r>
        <w:rPr/>
        <w:t xml:space="preserve">Essais de résistance à l'arrachement des inserts de levage</w:t>
      </w:r>
    </w:p>
    <w:p>
      <w:pPr>
        <w:ind w:left="720" w:right="0"/>
      </w:pPr>
      <w:r>
        <w:rPr>
          <w:rStyle w:val="font_h2"/>
        </w:rPr>
        <w:t xml:space="preserve">3.3. Dispositifs de fixation</w:t>
      </w:r>
    </w:p>
    <w:p>
      <w:pPr/>
      <w:r>
        <w:rPr/>
        <w:t xml:space="preserve">Validé par le Groupe Spécialisé le 27/11/2018</w:t>
      </w:r>
    </w:p>
    <w:p>
      <w:pPr/>
      <w:r>
        <w:rPr>
          <w:b/>
          <w:bCs/>
        </w:rPr>
        <w:t xml:space="preserve">Description</w:t>
      </w:r>
    </w:p>
    <w:p>
      <w:pPr/>
      <w:r>
        <w:rPr/>
        <w:t xml:space="preserve">Liste des inserts de fixation, nature, matériau, protection vis à vis de la corrosionDescription des systèmes d’attaches, nature, matériau, protection vis à vis de la corrosion</w:t>
      </w:r>
    </w:p>
    <w:p>
      <w:pPr/>
      <w:r>
        <w:rPr>
          <w:b/>
          <w:bCs/>
        </w:rPr>
        <w:t xml:space="preserve">Justification</w:t>
      </w:r>
    </w:p>
    <w:p>
      <w:pPr/>
      <w:r>
        <w:rPr/>
        <w:t xml:space="preserve">Essais de résistance a l'arrachementEssais de résistance au cisaillement, le cas échéantJustification de la résistance à la corrosion vis à vis de la durée de vie revendiquée de l'ouvrage</w:t>
      </w:r>
    </w:p>
    <w:p>
      <w:pPr>
        <w:ind w:left="720" w:right="0"/>
      </w:pPr>
      <w:r>
        <w:rPr>
          <w:rStyle w:val="font_h2"/>
        </w:rPr>
        <w:t xml:space="preserve">3.4. Jointoiement entre éléments</w:t>
      </w:r>
    </w:p>
    <w:p>
      <w:pPr/>
      <w:r>
        <w:rPr/>
        <w:t xml:space="preserve">Validé par le Groupe Spécialisé le 27/11/2018</w:t>
      </w:r>
    </w:p>
    <w:p>
      <w:pPr/>
      <w:r>
        <w:rPr>
          <w:b/>
          <w:bCs/>
        </w:rPr>
        <w:t xml:space="preserve">Description</w:t>
      </w:r>
    </w:p>
    <w:p>
      <w:pPr/>
      <w:r>
        <w:rPr/>
        <w:t xml:space="preserve">Garniture des joints (le cas échéant)</w:t>
      </w:r>
    </w:p>
    <w:p>
      <w:pPr/>
      <w:r>
        <w:rPr>
          <w:b/>
          <w:bCs/>
        </w:rPr>
        <w:t xml:space="preserve">Justification</w:t>
      </w:r>
    </w:p>
    <w:p>
      <w:pPr/>
      <w:r>
        <w:rPr/>
        <w:t xml:space="preserve">Justifier la libre des dilatations de éléments d'habillage en présence des  garnitures de joint</w:t>
      </w:r>
    </w:p>
    <w:p>
      <w:pPr>
        <w:ind w:left="720" w:right="0"/>
      </w:pPr>
      <w:r>
        <w:rPr>
          <w:rStyle w:val="font_h2"/>
        </w:rPr>
        <w:t xml:space="preserve">3.5. Isolants</w:t>
      </w:r>
    </w:p>
    <w:p>
      <w:pPr/>
      <w:r>
        <w:rPr/>
        <w:t xml:space="preserve">Validé par le Groupe Spécialisé le 27/11/2018</w:t>
      </w:r>
    </w:p>
    <w:p>
      <w:pPr/>
      <w:r>
        <w:rPr>
          <w:b/>
          <w:bCs/>
        </w:rPr>
        <w:t xml:space="preserve">Description</w:t>
      </w:r>
    </w:p>
    <w:p>
      <w:pPr/>
      <w:r>
        <w:rPr/>
        <w:t xml:space="preserve">Caractéristiques : nature, masse volumique, conductivité thermique, comportement à l'eau, caractéristiques mécaniques</w:t>
      </w:r>
    </w:p>
    <w:p>
      <w:pPr>
        <w:ind w:left="720" w:right="0"/>
      </w:pPr>
      <w:r>
        <w:rPr>
          <w:rStyle w:val="font_h2"/>
        </w:rPr>
        <w:t xml:space="preserve">3.6. Revêtements</w:t>
      </w:r>
    </w:p>
    <w:p>
      <w:pPr/>
      <w:r>
        <w:rPr/>
        <w:t xml:space="preserve">Validé par le Groupe Spécialisé le 27/11/2018</w:t>
      </w:r>
    </w:p>
    <w:p>
      <w:pPr/>
      <w:r>
        <w:rPr>
          <w:b/>
          <w:bCs/>
        </w:rPr>
        <w:t xml:space="preserve">Description</w:t>
      </w:r>
    </w:p>
    <w:p>
      <w:pPr/>
      <w:r>
        <w:rPr/>
        <w:t xml:space="preserve">Nature, description</w:t>
      </w:r>
    </w:p>
    <w:p>
      <w:pPr/>
      <w:r>
        <w:rPr>
          <w:rStyle w:val="font_h1"/>
        </w:rPr>
        <w:t xml:space="preserve">4. Elements</w:t>
      </w:r>
    </w:p>
    <w:p>
      <w:pPr>
        <w:ind w:left="720" w:right="0"/>
      </w:pPr>
      <w:r>
        <w:rPr>
          <w:rStyle w:val="font_h2"/>
        </w:rPr>
        <w:t xml:space="preserve">4.1. Panneaux de façade</w:t>
      </w:r>
    </w:p>
    <w:p>
      <w:pPr>
        <w:ind w:left="1440" w:right="0"/>
      </w:pPr>
      <w:r>
        <w:rPr>
          <w:rStyle w:val="font_h3"/>
        </w:rPr>
        <w:t xml:space="preserve">4.1.1. Dimensions</w:t>
      </w:r>
    </w:p>
    <w:p>
      <w:pPr/>
      <w:r>
        <w:rPr/>
        <w:t xml:space="preserve">Validé par le Groupe Spécialisé le 27/11/2018</w:t>
      </w:r>
    </w:p>
    <w:p>
      <w:pPr/>
      <w:r>
        <w:rPr>
          <w:b/>
          <w:bCs/>
        </w:rPr>
        <w:t xml:space="preserve">Description</w:t>
      </w:r>
    </w:p>
    <w:p>
      <w:pPr/>
      <w:r>
        <w:rPr/>
        <w:t xml:space="preserve">longueur, épaisseur, largeur, surface, élancement, orientation par rapport à la façade, points singuliers, masse par m², coefficient de comportement visé.</w:t>
      </w:r>
    </w:p>
    <w:p>
      <w:pPr>
        <w:ind w:left="1440" w:right="0"/>
      </w:pPr>
      <w:r>
        <w:rPr>
          <w:rStyle w:val="font_h3"/>
        </w:rPr>
        <w:t xml:space="preserve">4.1.3. Principe de conception du système de fixation</w:t>
      </w:r>
    </w:p>
    <w:p>
      <w:pPr/>
      <w:r>
        <w:rPr/>
        <w:t xml:space="preserve">Validé par le Groupe Spécialisé le 27/11/2018</w:t>
      </w:r>
    </w:p>
    <w:p>
      <w:pPr/>
      <w:r>
        <w:rPr>
          <w:b/>
          <w:bCs/>
        </w:rPr>
        <w:t xml:space="preserve">Description</w:t>
      </w:r>
    </w:p>
    <w:p>
      <w:pPr>
        <w:pPr/>
        <w:numPr>
          <w:ilvl w:val="0"/>
          <w:numId w:val="10"/>
        </w:numPr>
      </w:pPr>
      <w:r>
        <w:rPr/>
        <w:t xml:space="preserve">Description du système d’attaches</w:t>
      </w:r>
    </w:p>
    <w:p>
      <w:pPr>
        <w:pPr/>
        <w:numPr>
          <w:ilvl w:val="0"/>
          <w:numId w:val="10"/>
        </w:numPr>
      </w:pPr>
      <w:r>
        <w:rPr/>
        <w:t xml:space="preserve">Conditions d’ancrage des inserts de fixation</w:t>
      </w:r>
    </w:p>
    <w:p>
      <w:pPr>
        <w:pPr/>
        <w:numPr>
          <w:ilvl w:val="0"/>
          <w:numId w:val="10"/>
        </w:numPr>
      </w:pPr>
      <w:r>
        <w:rPr/>
        <w:t xml:space="preserve">Schéma statique</w:t>
      </w:r>
    </w:p>
    <w:p>
      <w:pPr>
        <w:pPr/>
        <w:numPr>
          <w:ilvl w:val="0"/>
          <w:numId w:val="10"/>
        </w:numPr>
      </w:pPr>
      <w:r>
        <w:rPr/>
        <w:t xml:space="preserve">Prise en compte des variations dimensionnelles de l’élément d’habillage</w:t>
      </w:r>
    </w:p>
    <w:p>
      <w:pPr>
        <w:pPr/>
        <w:numPr>
          <w:ilvl w:val="0"/>
          <w:numId w:val="10"/>
        </w:numPr>
      </w:pPr>
      <w:r>
        <w:rPr/>
        <w:t xml:space="preserve">Conditions de planéité du support, compatibilité des plages de réglage du système d’attache avec les tolérances de planéité du support</w:t>
      </w:r>
    </w:p>
    <w:p>
      <w:pPr>
        <w:ind w:left="1440" w:right="0"/>
      </w:pPr>
      <w:r>
        <w:rPr>
          <w:rStyle w:val="font_h3"/>
        </w:rPr>
        <w:t xml:space="preserve">4.1.4. Organisation de la façade</w:t>
      </w:r>
    </w:p>
    <w:p>
      <w:pPr/>
      <w:r>
        <w:rPr/>
        <w:t xml:space="preserve">Validé par le Groupe Spécialisé le 27/11/2018</w:t>
      </w:r>
    </w:p>
    <w:p>
      <w:pPr/>
      <w:r>
        <w:rPr>
          <w:b/>
          <w:bCs/>
        </w:rPr>
        <w:t xml:space="preserve">Description</w:t>
      </w:r>
    </w:p>
    <w:p>
      <w:pPr/>
      <w:r>
        <w:rPr/>
        <w:t xml:space="preserve">largeur de joint, lame d’air, isolant, système de recoupement de la lame d’air, traitement des menuiseries</w:t>
      </w:r>
    </w:p>
    <w:p>
      <w:pPr>
        <w:ind w:left="720" w:right="0"/>
      </w:pPr>
      <w:r>
        <w:rPr>
          <w:rStyle w:val="font_h2"/>
        </w:rPr>
        <w:t xml:space="preserve">4.2. Panneaux en zone sismiques</w:t>
      </w:r>
    </w:p>
    <w:p>
      <w:pPr>
        <w:ind w:left="1440" w:right="0"/>
      </w:pPr>
      <w:r>
        <w:rPr>
          <w:rStyle w:val="font_h3"/>
        </w:rPr>
        <w:t xml:space="preserve">4.2.1. Dimensions</w:t>
      </w:r>
    </w:p>
    <w:p>
      <w:pPr/>
      <w:r>
        <w:rPr/>
        <w:t xml:space="preserve">Validé par le Groupe Spécialisé le 27/11/2018</w:t>
      </w:r>
    </w:p>
    <w:p>
      <w:pPr/>
      <w:r>
        <w:rPr>
          <w:b/>
          <w:bCs/>
        </w:rPr>
        <w:t xml:space="preserve">Description</w:t>
      </w:r>
    </w:p>
    <w:p>
      <w:pPr/>
      <w:r>
        <w:rPr/>
        <w:t xml:space="preserve">Surface maximale visée, dimensions maximales, épaisseur, largeur de joint</w:t>
      </w:r>
    </w:p>
    <w:p>
      <w:pPr>
        <w:ind w:left="1440" w:right="0"/>
      </w:pPr>
      <w:r>
        <w:rPr>
          <w:rStyle w:val="font_h3"/>
        </w:rPr>
        <w:t xml:space="preserve">4.2.2. Systèmes de fixation</w:t>
      </w:r>
    </w:p>
    <w:p>
      <w:pPr/>
      <w:r>
        <w:rPr/>
        <w:t xml:space="preserve">Validé par le Groupe Spécialisé le 27/11/2018</w:t>
      </w:r>
    </w:p>
    <w:p>
      <w:pPr/>
      <w:r>
        <w:rPr>
          <w:b/>
          <w:bCs/>
        </w:rPr>
        <w:t xml:space="preserve">Description</w:t>
      </w:r>
    </w:p>
    <w:p>
      <w:pPr/>
      <w:r>
        <w:rPr/>
        <w:t xml:space="preserve">Description des systèmes de fixation visés en situation sismique</w:t>
      </w:r>
    </w:p>
    <w:p>
      <w:pPr>
        <w:ind w:left="1440" w:right="0"/>
      </w:pPr>
      <w:r>
        <w:rPr>
          <w:rStyle w:val="font_h3"/>
        </w:rPr>
        <w:t xml:space="preserve">4.2.3. Principe de conception du système de fixation en zones sismiques</w:t>
      </w:r>
    </w:p>
    <w:p>
      <w:pPr/>
      <w:r>
        <w:rPr/>
        <w:t xml:space="preserve">Validé par le Groupe Spécialisé le 27/11/2018</w:t>
      </w:r>
    </w:p>
    <w:p>
      <w:pPr/>
      <w:r>
        <w:rPr>
          <w:b/>
          <w:bCs/>
        </w:rPr>
        <w:t xml:space="preserve">Description</w:t>
      </w:r>
    </w:p>
    <w:p>
      <w:pPr/>
      <w:r>
        <w:rPr/>
        <w:t xml:space="preserve">Compatibilité du principe de fixation du procédé avec l'action sismiqueCompatibilité du principe de fixation avec les déformations de la structure porteuse</w:t>
      </w:r>
    </w:p>
    <w:p>
      <w:pPr/>
      <w:r>
        <w:rPr>
          <w:b/>
          <w:bCs/>
        </w:rPr>
        <w:t xml:space="preserve">Justification</w:t>
      </w:r>
    </w:p>
    <w:p>
      <w:pPr/>
      <w:r>
        <w:rPr/>
        <w:t xml:space="preserve">Justification de la largeur de joint</w:t>
      </w:r>
    </w:p>
    <w:p>
      <w:pPr/>
      <w:r>
        <w:rPr>
          <w:b/>
          <w:bCs/>
        </w:rPr>
        <w:t xml:space="preserve">Critères d'évaluation</w:t>
      </w:r>
    </w:p>
    <w:p>
      <w:pPr/>
      <w:r>
        <w:rPr/>
        <w:t xml:space="preserve">Absence de chute des élémentsAbsence d'entrechoquement entre panneaux</w:t>
      </w:r>
    </w:p>
    <w:p>
      <w:pPr>
        <w:ind w:left="720" w:right="0"/>
      </w:pPr>
      <w:r>
        <w:rPr>
          <w:rStyle w:val="font_h2"/>
        </w:rPr>
        <w:t xml:space="preserve">4.3. Dispositifs de levage</w:t>
      </w:r>
    </w:p>
    <w:p>
      <w:pPr/>
      <w:r>
        <w:rPr/>
        <w:t xml:space="preserve">Validé par le Groupe Spécialisé le 27/11/2018</w:t>
      </w:r>
    </w:p>
    <w:p>
      <w:pPr/>
      <w:r>
        <w:rPr>
          <w:b/>
          <w:bCs/>
        </w:rPr>
        <w:t xml:space="preserve">Description</w:t>
      </w:r>
    </w:p>
    <w:p>
      <w:pPr/>
      <w:r>
        <w:rPr/>
        <w:t xml:space="preserve">Implantation et conditions d'ancrage des inserts de levage.Délai minimal avant premier levage.Conditions de levage.</w:t>
      </w:r>
    </w:p>
    <w:p>
      <w:pPr/>
      <w:r>
        <w:rPr>
          <w:rStyle w:val="font_h1"/>
        </w:rPr>
        <w:t xml:space="preserve">5. Fabrication</w:t>
      </w:r>
    </w:p>
    <w:p>
      <w:pPr>
        <w:ind w:left="720" w:right="0"/>
      </w:pPr>
      <w:r>
        <w:rPr>
          <w:rStyle w:val="font_h2"/>
        </w:rPr>
        <w:t xml:space="preserve">5.1. Mode de fabrication</w:t>
      </w:r>
    </w:p>
    <w:p>
      <w:pPr/>
      <w:r>
        <w:rPr/>
        <w:t xml:space="preserve">Validé par le Groupe Spécialisé le 27/11/2018</w:t>
      </w:r>
    </w:p>
    <w:p>
      <w:pPr/>
      <w:r>
        <w:rPr>
          <w:b/>
          <w:bCs/>
        </w:rPr>
        <w:t xml:space="preserve">Description</w:t>
      </w:r>
    </w:p>
    <w:p>
      <w:pPr/>
      <w:r>
        <w:rPr/>
        <w:t xml:space="preserve">Description du process de productionÉtapes de fabrication</w:t>
      </w:r>
    </w:p>
    <w:p>
      <w:pPr>
        <w:ind w:left="720" w:right="0"/>
      </w:pPr>
      <w:r>
        <w:rPr>
          <w:rStyle w:val="font_h2"/>
        </w:rPr>
        <w:t xml:space="preserve">5.3. Contrôles de fabrication</w:t>
      </w:r>
    </w:p>
    <w:p>
      <w:pPr/>
      <w:r>
        <w:rPr/>
        <w:t xml:space="preserve">Validé par le Groupe Spécialisé le 27/11/2018</w:t>
      </w:r>
    </w:p>
    <w:p>
      <w:pPr/>
      <w:r>
        <w:rPr>
          <w:b/>
          <w:bCs/>
        </w:rPr>
        <w:t xml:space="preserve">Description</w:t>
      </w:r>
    </w:p>
    <w:p>
      <w:pPr>
        <w:pPr/>
        <w:numPr>
          <w:ilvl w:val="0"/>
          <w:numId w:val="11"/>
        </w:numPr>
      </w:pPr>
      <w:r>
        <w:rPr/>
        <w:t xml:space="preserve">Contrôle des matières premières</w:t>
      </w:r>
    </w:p>
    <w:p>
      <w:pPr>
        <w:pPr/>
        <w:numPr>
          <w:ilvl w:val="0"/>
          <w:numId w:val="11"/>
        </w:numPr>
      </w:pPr>
      <w:r>
        <w:rPr/>
        <w:t xml:space="preserve">Tolérances de fabrication</w:t>
      </w:r>
    </w:p>
    <w:p>
      <w:pPr>
        <w:pPr/>
        <w:numPr>
          <w:ilvl w:val="0"/>
          <w:numId w:val="11"/>
        </w:numPr>
      </w:pPr>
      <w:r>
        <w:rPr/>
        <w:t xml:space="preserve">Contrôle de fabrication</w:t>
      </w:r>
    </w:p>
    <w:p>
      <w:pPr>
        <w:pPr/>
        <w:numPr>
          <w:ilvl w:val="0"/>
          <w:numId w:val="11"/>
        </w:numPr>
      </w:pPr>
      <w:r>
        <w:rPr/>
        <w:t xml:space="preserve">Contrôles sur produits finis (spécification et tolérances associées à chaque contrôle)</w:t>
      </w:r>
    </w:p>
    <w:p>
      <w:pPr>
        <w:ind w:left="720" w:right="0"/>
      </w:pPr>
      <w:r>
        <w:rPr>
          <w:rStyle w:val="font_h2"/>
        </w:rPr>
        <w:t xml:space="preserve">5.4. Sites de fabrication</w:t>
      </w:r>
    </w:p>
    <w:p>
      <w:pPr/>
      <w:r>
        <w:rPr>
          <w:rStyle w:val="font_h1"/>
        </w:rPr>
        <w:t xml:space="preserve">6. Mise en oeuvre</w:t>
      </w:r>
    </w:p>
    <w:p>
      <w:pPr>
        <w:ind w:left="720" w:right="0"/>
      </w:pPr>
      <w:r>
        <w:rPr>
          <w:rStyle w:val="font_h2"/>
        </w:rPr>
        <w:t xml:space="preserve">6.1. Pose des panneaux</w:t>
      </w:r>
    </w:p>
    <w:p>
      <w:pPr/>
      <w:r>
        <w:rPr/>
        <w:t xml:space="preserve">Validé par le Groupe Spécialisé le 27/11/2018</w:t>
      </w:r>
    </w:p>
    <w:p>
      <w:pPr/>
      <w:r>
        <w:rPr>
          <w:b/>
          <w:bCs/>
        </w:rPr>
        <w:t xml:space="preserve">Description</w:t>
      </w:r>
    </w:p>
    <w:p>
      <w:pPr/>
      <w:r>
        <w:rPr/>
        <w:t xml:space="preserve">Précautions particulières lors du levagePhasage de la mise en œuvre</w:t>
      </w:r>
    </w:p>
    <w:p>
      <w:pPr>
        <w:ind w:left="720" w:right="0"/>
      </w:pPr>
      <w:r>
        <w:rPr>
          <w:rStyle w:val="font_h2"/>
        </w:rPr>
        <w:t xml:space="preserve">6.2. Réglage des systèmes de fixation</w:t>
      </w:r>
    </w:p>
    <w:p>
      <w:pPr/>
      <w:r>
        <w:rPr/>
        <w:t xml:space="preserve">Validé par le Groupe Spécialisé le 27/11/2018</w:t>
      </w:r>
    </w:p>
    <w:p>
      <w:pPr/>
      <w:r>
        <w:rPr>
          <w:b/>
          <w:bCs/>
        </w:rPr>
        <w:t xml:space="preserve">Description</w:t>
      </w:r>
    </w:p>
    <w:p>
      <w:pPr/>
      <w:r>
        <w:rPr/>
        <w:t xml:space="preserve">Description du système de réglagePlage de réglagePhase du réglage avec la pose des panneaux</w:t>
      </w:r>
    </w:p>
    <w:p>
      <w:pPr/>
      <w:r>
        <w:rPr>
          <w:b/>
          <w:bCs/>
        </w:rPr>
        <w:t xml:space="preserve">Justification</w:t>
      </w:r>
    </w:p>
    <w:p>
      <w:pPr/>
      <w:r>
        <w:rPr/>
        <w:t xml:space="preserve">Compatibilité des plages de réglage avec les tolérances de pose</w:t>
      </w:r>
    </w:p>
    <w:p>
      <w:pPr>
        <w:ind w:left="720" w:right="0"/>
      </w:pPr>
      <w:r>
        <w:rPr>
          <w:rStyle w:val="font_h2"/>
        </w:rPr>
        <w:t xml:space="preserve">6.3. Tolérances de pose</w:t>
      </w:r>
    </w:p>
    <w:p>
      <w:pPr>
        <w:ind w:left="720" w:right="0"/>
      </w:pPr>
      <w:r>
        <w:rPr>
          <w:rStyle w:val="font_h2"/>
        </w:rPr>
        <w:t xml:space="preserve">6.4. Traitement des points singuliers</w:t>
      </w:r>
    </w:p>
    <w:p>
      <w:pPr/>
      <w:r>
        <w:rPr/>
        <w:t xml:space="preserve">Validé par le Groupe Spécialisé le 27/11/2018</w:t>
      </w:r>
    </w:p>
    <w:p>
      <w:pPr/>
      <w:r>
        <w:rPr>
          <w:b/>
          <w:bCs/>
        </w:rPr>
        <w:t xml:space="preserve">Description</w:t>
      </w:r>
    </w:p>
    <w:p>
      <w:pPr>
        <w:pPr/>
        <w:numPr>
          <w:ilvl w:val="0"/>
          <w:numId w:val="12"/>
        </w:numPr>
      </w:pPr>
      <w:r>
        <w:rPr/>
        <w:t xml:space="preserve">Angles, traitement au droit des ouvertures ;</w:t>
      </w:r>
    </w:p>
    <w:p>
      <w:pPr>
        <w:pPr/>
        <w:numPr>
          <w:ilvl w:val="0"/>
          <w:numId w:val="12"/>
        </w:numPr>
      </w:pPr>
      <w:r>
        <w:rPr/>
        <w:t xml:space="preserve">Traitement du départ en partie basse ;</w:t>
      </w:r>
    </w:p>
    <w:p>
      <w:pPr>
        <w:pPr/>
        <w:numPr>
          <w:ilvl w:val="0"/>
          <w:numId w:val="12"/>
        </w:numPr>
      </w:pPr>
      <w:r>
        <w:rPr/>
        <w:t xml:space="preserve">Traitement au droit des joints de dilatation du bâtiment ;</w:t>
      </w:r>
    </w:p>
    <w:p>
      <w:pPr>
        <w:pPr/>
        <w:numPr>
          <w:ilvl w:val="0"/>
          <w:numId w:val="12"/>
        </w:numPr>
      </w:pPr>
      <w:r>
        <w:rPr/>
        <w:t xml:space="preserve">Traitement en partie haute ;</w:t>
      </w:r>
    </w:p>
    <w:p>
      <w:pPr/>
      <w:r>
        <w:rPr>
          <w:rStyle w:val="font_h1"/>
        </w:rPr>
        <w:t xml:space="preserve">7. Entretien et manutention</w:t>
      </w:r>
    </w:p>
    <w:p>
      <w:pPr/>
      <w:r>
        <w:rPr/>
        <w:t xml:space="preserve">Validé par le Groupe Spécialisé le 27/11/2018</w:t>
      </w:r>
    </w:p>
    <w:p>
      <w:pPr/>
      <w:r>
        <w:rPr>
          <w:b/>
          <w:bCs/>
        </w:rPr>
        <w:t xml:space="preserve">Description</w:t>
      </w:r>
    </w:p>
    <w:p>
      <w:pPr/>
      <w:r>
        <w:rPr/>
        <w:t xml:space="preserve">Remplacement des éléments en cas de désordre au cours de la vie de l'ouvragePlan d'inspection de l'ouvrage (le cas échéant)</w:t>
      </w:r>
    </w:p>
    <w:p>
      <w:pPr/>
      <w:r>
        <w:rPr>
          <w:rStyle w:val="font_h1"/>
        </w:rPr>
        <w:t xml:space="preserve">8. Dimensionnement</w:t>
      </w:r>
    </w:p>
    <w:p>
      <w:pPr>
        <w:ind w:left="720" w:right="0"/>
      </w:pPr>
      <w:r>
        <w:rPr>
          <w:rStyle w:val="font_h2"/>
        </w:rPr>
        <w:t xml:space="preserve">8.1. Dimensionnement de l'élément d'habillage</w:t>
      </w:r>
    </w:p>
    <w:p>
      <w:pPr/>
      <w:r>
        <w:rPr/>
        <w:t xml:space="preserve">Validé par le Groupe Spécialisé le 27/11/2018</w:t>
      </w:r>
    </w:p>
    <w:p>
      <w:pPr/>
      <w:r>
        <w:rPr>
          <w:b/>
          <w:bCs/>
        </w:rPr>
        <w:t xml:space="preserve">Description</w:t>
      </w:r>
    </w:p>
    <w:p>
      <w:pPr>
        <w:pPr/>
        <w:numPr>
          <w:ilvl w:val="0"/>
          <w:numId w:val="13"/>
        </w:numPr>
      </w:pPr>
      <w:r>
        <w:rPr/>
        <w:t xml:space="preserve">Combinaison d’actions (vérification des éléments vis-à-vis de l’action du vent, ,  vis-à-vis  de l’action sismique)</w:t>
      </w:r>
    </w:p>
    <w:p>
      <w:pPr>
        <w:pPr/>
        <w:numPr>
          <w:ilvl w:val="0"/>
          <w:numId w:val="13"/>
        </w:numPr>
      </w:pPr>
      <w:r>
        <w:rPr/>
        <w:t xml:space="preserve">Méthode de dimensionnement</w:t>
      </w:r>
    </w:p>
    <w:p>
      <w:pPr>
        <w:pPr/>
        <w:numPr>
          <w:ilvl w:val="0"/>
          <w:numId w:val="13"/>
        </w:numPr>
      </w:pPr>
      <w:r>
        <w:rPr/>
        <w:t xml:space="preserve">Contraintes admissibles, coefficient de sécurité matériaux</w:t>
      </w:r>
    </w:p>
    <w:p>
      <w:pPr>
        <w:ind w:left="720" w:right="0"/>
      </w:pPr>
      <w:r>
        <w:rPr>
          <w:rStyle w:val="font_h2"/>
        </w:rPr>
        <w:t xml:space="preserve">8.2. Dimensionnement du système d'attache</w:t>
      </w:r>
    </w:p>
    <w:p>
      <w:pPr/>
      <w:r>
        <w:rPr/>
        <w:t xml:space="preserve">Validé par le Groupe Spécialisé le 27/11/2018</w:t>
      </w:r>
    </w:p>
    <w:p>
      <w:pPr/>
      <w:r>
        <w:rPr>
          <w:b/>
          <w:bCs/>
        </w:rPr>
        <w:t xml:space="preserve">Description</w:t>
      </w:r>
    </w:p>
    <w:p>
      <w:pPr>
        <w:pPr/>
        <w:numPr>
          <w:ilvl w:val="0"/>
          <w:numId w:val="14"/>
        </w:numPr>
      </w:pPr>
      <w:r>
        <w:rPr/>
        <w:t xml:space="preserve">Combinaison d’actions (vérification des éléments vis-à-vis de l’action du vent, prise en compte des effets de vent dynamique, vis-à-vis  de l’action sismique)</w:t>
      </w:r>
    </w:p>
    <w:p>
      <w:pPr>
        <w:pPr/>
        <w:numPr>
          <w:ilvl w:val="0"/>
          <w:numId w:val="14"/>
        </w:numPr>
      </w:pPr>
      <w:r>
        <w:rPr/>
        <w:t xml:space="preserve">Méthode de dimensionnement</w:t>
      </w:r>
    </w:p>
    <w:p>
      <w:pPr>
        <w:pPr/>
        <w:numPr>
          <w:ilvl w:val="0"/>
          <w:numId w:val="14"/>
        </w:numPr>
      </w:pPr>
      <w:r>
        <w:rPr/>
        <w:t xml:space="preserve">Résistance à l’arrachement et ou au cisaillement, coefficient de sécurité</w:t>
      </w:r>
    </w:p>
    <w:p>
      <w:pPr>
        <w:pPr/>
        <w:numPr>
          <w:ilvl w:val="0"/>
          <w:numId w:val="14"/>
        </w:numPr>
      </w:pPr>
      <w:r>
        <w:rPr/>
        <w:t xml:space="preserve">Prise en compte de la concomitance des actions</w:t>
      </w:r>
    </w:p>
    <w:p>
      <w:pPr/>
      <w:r>
        <w:rPr>
          <w:rStyle w:val="font_h1"/>
        </w:rPr>
        <w:t xml:space="preserve">9. Sécurité incendie</w:t>
      </w:r>
    </w:p>
    <w:p>
      <w:pPr/>
      <w:r>
        <w:rPr/>
        <w:t xml:space="preserve">Validé par le Groupe Spécialisé le 27/11/2018</w:t>
      </w:r>
    </w:p>
    <w:p>
      <w:pPr/>
      <w:r>
        <w:rPr>
          <w:b/>
          <w:bCs/>
        </w:rPr>
        <w:t xml:space="preserve">Description</w:t>
      </w:r>
    </w:p>
    <w:p>
      <w:pPr/>
      <w:r>
        <w:rPr/>
        <w:t xml:space="preserve">Les procédés d'habillage sont concernés par la réaction au feu et la propagation du feu en façade en fonction de leur domaine d'emploi.</w:t>
      </w:r>
    </w:p>
    <w:p>
      <w:pPr/>
      <w:r>
        <w:rPr>
          <w:b/>
          <w:bCs/>
        </w:rPr>
        <w:t xml:space="preserve">Justification</w:t>
      </w:r>
    </w:p>
    <w:p>
      <w:pPr/>
      <w:r>
        <w:rPr/>
        <w:t xml:space="preserve">Réaction au feu : Procès-verbal de classement de réaction au feu de l’élément d’habillage conformément à la norme EN 13501-1,</w:t>
      </w:r>
    </w:p>
    <w:p>
      <w:pPr/>
      <w:r>
        <w:rPr/>
        <w:t xml:space="preserve">Le cas échéant, appréciation de laboratoire par un laboratoire agréé par le Ministère de l’Intérieur pour les solutions de protection vis à vis de la propagation du feu en façade.</w:t>
      </w:r>
    </w:p>
    <w:p>
      <w:pPr/>
      <w:r>
        <w:rPr>
          <w:rStyle w:val="font_h1"/>
        </w:rPr>
        <w:t xml:space="preserve">10. Résultats expérimentaux</w:t>
      </w:r>
    </w:p>
    <w:p>
      <w:pPr/>
      <w:r>
        <w:rPr/>
        <w:t xml:space="preserve">Validé par le Groupe Spécialisé le 27/11/2018</w:t>
      </w:r>
    </w:p>
    <w:p>
      <w:pPr/>
      <w:r>
        <w:rPr>
          <w:b/>
          <w:bCs/>
        </w:rPr>
        <w:t xml:space="preserve">Description</w:t>
      </w:r>
    </w:p>
    <w:p>
      <w:pPr>
        <w:pPr/>
        <w:numPr>
          <w:ilvl w:val="0"/>
          <w:numId w:val="15"/>
        </w:numPr>
      </w:pPr>
      <w:r>
        <w:rPr/>
        <w:t xml:space="preserve">Caractérisation matériaux•   Caractérisation mécanique selon la norme produit en vigueur le cas échéant•   Evaluation de l‘évolution des caractéristiques mécaniques avec le temps•   Détermination du coefficient de dilatation thermique•   Essais de variation dimensionnelle</w:t>
      </w:r>
    </w:p>
    <w:p>
      <w:pPr>
        <w:pPr/>
        <w:numPr>
          <w:ilvl w:val="0"/>
          <w:numId w:val="15"/>
        </w:numPr>
      </w:pPr>
      <w:r>
        <w:rPr/>
        <w:t xml:space="preserve">Stabilité en phase permanente•   Essai mécanique sur élément d’habillage•   Essais de résistance à l’arrachement et ou au cisaillement des inserts de fixation (essai statique et/ou cyclique selon domaine d’emploi visé)</w:t>
      </w:r>
    </w:p>
    <w:p>
      <w:pPr>
        <w:pPr/>
        <w:numPr>
          <w:ilvl w:val="0"/>
          <w:numId w:val="15"/>
        </w:numPr>
      </w:pPr>
      <w:r>
        <w:rPr/>
        <w:t xml:space="preserve">Rapport d’essai sismique (surface maximale visée, largeur de joint, système d’attache)</w:t>
      </w:r>
    </w:p>
    <w:p>
      <w:pPr>
        <w:pPr/>
        <w:numPr>
          <w:ilvl w:val="0"/>
          <w:numId w:val="15"/>
        </w:numPr>
      </w:pPr>
      <w:r>
        <w:rPr/>
        <w:t xml:space="preserve">Rapport d’étude pour la mise en œuvre en zones sismiques</w:t>
      </w:r>
    </w:p>
    <w:p>
      <w:pPr>
        <w:pPr/>
        <w:numPr>
          <w:ilvl w:val="0"/>
          <w:numId w:val="15"/>
        </w:numPr>
      </w:pPr>
      <w:r>
        <w:rPr/>
        <w:t xml:space="preserve">Réaction au feu : Procès-verbal de classement de réaction au feu de l’élément d’habillage conformément à la norme EN 13501-1</w:t>
      </w:r>
    </w:p>
    <w:p>
      <w:pPr>
        <w:pPr/>
        <w:numPr>
          <w:ilvl w:val="0"/>
          <w:numId w:val="15"/>
        </w:numPr>
      </w:pPr>
      <w:r>
        <w:rPr/>
        <w:t xml:space="preserve">Résistance aux chocs•   Essais de résistance aux chocs de corps mou de conservation des performances selon la NF P 08-302•   Essai de résistance aux chocs de corps durs de conservation des performances selon la NF P 08-302</w:t>
      </w:r>
    </w:p>
    <w:p>
      <w:pPr/>
      <w:r>
        <w:rPr>
          <w:rStyle w:val="font_h1"/>
        </w:rPr>
        <w:t xml:space="preserve">11. Conditions d'exploitation du procédé</w:t>
      </w:r>
    </w:p>
    <w:p>
      <w:pPr/>
      <w:r>
        <w:rPr/>
        <w:t xml:space="preserve">Validé par le Groupe Spécialisé le 27/11/2018</w:t>
      </w:r>
    </w:p>
    <w:p>
      <w:pPr/>
      <w:r>
        <w:rPr>
          <w:b/>
          <w:bCs/>
        </w:rPr>
        <w:t xml:space="preserve">Description</w:t>
      </w:r>
    </w:p>
    <w:p>
      <w:pPr>
        <w:pPr/>
        <w:numPr>
          <w:ilvl w:val="0"/>
          <w:numId w:val="16"/>
        </w:numPr>
      </w:pPr>
      <w:r>
        <w:rPr/>
        <w:t xml:space="preserve">Mode de distribution</w:t>
      </w:r>
    </w:p>
    <w:p>
      <w:pPr>
        <w:pPr/>
        <w:numPr>
          <w:ilvl w:val="0"/>
          <w:numId w:val="16"/>
        </w:numPr>
      </w:pPr>
      <w:r>
        <w:rPr/>
        <w:t xml:space="preserve">Prise en charge du dimensionnement</w:t>
      </w:r>
    </w:p>
    <w:p>
      <w:pPr>
        <w:pPr/>
        <w:numPr>
          <w:ilvl w:val="0"/>
          <w:numId w:val="16"/>
        </w:numPr>
      </w:pPr>
      <w:r>
        <w:rPr/>
        <w:t xml:space="preserve">Description du mode d’assistance technique (formation chez le fabricant, démonstration sur chantier, support technique : guide de mise en œuvre, internet,…) ;</w:t>
      </w:r>
    </w:p>
    <w:p>
      <w:pPr/>
      <w:r>
        <w:rPr>
          <w:b/>
          <w:bCs/>
        </w:rPr>
        <w:t xml:space="preserve">Justification</w:t>
      </w:r>
    </w:p>
    <w:p>
      <w:pPr/>
      <w:r>
        <w:rPr/>
        <w:t xml:space="preserve">Exemple(s) de note de calcul représentative du domaine d’emploi visé, et des caractéristiques géométriques visées.</w:t>
      </w:r>
    </w:p>
    <w:p>
      <w:pPr/>
      <w:r>
        <w:rPr>
          <w:rStyle w:val="font_h1"/>
        </w:rPr>
        <w:t xml:space="preserve">12. Figures</w:t>
      </w:r>
    </w:p>
    <w:p>
      <w:pPr/>
      <w:r>
        <w:rPr/>
        <w:t xml:space="preserve">Validé par le Groupe Spécialisé le 27/11/2018</w:t>
      </w:r>
    </w:p>
    <w:p>
      <w:pPr/>
      <w:r>
        <w:rPr>
          <w:b/>
          <w:bCs/>
        </w:rPr>
        <w:t xml:space="preserve">Description</w:t>
      </w:r>
    </w:p>
    <w:p>
      <w:pPr>
        <w:pPr/>
        <w:numPr>
          <w:ilvl w:val="0"/>
          <w:numId w:val="17"/>
        </w:numPr>
      </w:pPr>
      <w:r>
        <w:rPr/>
        <w:t xml:space="preserve">Schéma statique</w:t>
      </w:r>
    </w:p>
    <w:p>
      <w:pPr>
        <w:pPr/>
        <w:numPr>
          <w:ilvl w:val="0"/>
          <w:numId w:val="17"/>
        </w:numPr>
      </w:pPr>
      <w:r>
        <w:rPr/>
        <w:t xml:space="preserve">Schémas des éléments d’habillage</w:t>
      </w:r>
    </w:p>
    <w:p>
      <w:pPr>
        <w:pPr/>
        <w:numPr>
          <w:ilvl w:val="0"/>
          <w:numId w:val="17"/>
        </w:numPr>
      </w:pPr>
      <w:r>
        <w:rPr/>
        <w:t xml:space="preserve">Schémas des inserts de fixations</w:t>
      </w:r>
    </w:p>
    <w:p>
      <w:pPr>
        <w:pPr/>
        <w:numPr>
          <w:ilvl w:val="0"/>
          <w:numId w:val="17"/>
        </w:numPr>
      </w:pPr>
      <w:r>
        <w:rPr/>
        <w:t xml:space="preserve">Schémas des inserts de levage</w:t>
      </w:r>
    </w:p>
    <w:p>
      <w:pPr>
        <w:pPr/>
        <w:numPr>
          <w:ilvl w:val="0"/>
          <w:numId w:val="17"/>
        </w:numPr>
      </w:pPr>
      <w:r>
        <w:rPr/>
        <w:t xml:space="preserve">Schéma de levage</w:t>
      </w:r>
    </w:p>
    <w:p>
      <w:pPr>
        <w:pPr/>
        <w:numPr>
          <w:ilvl w:val="0"/>
          <w:numId w:val="17"/>
        </w:numPr>
      </w:pPr>
      <w:r>
        <w:rPr/>
        <w:t xml:space="preserve">Coupe en partie courante</w:t>
      </w:r>
    </w:p>
    <w:p>
      <w:pPr>
        <w:pPr/>
        <w:numPr>
          <w:ilvl w:val="0"/>
          <w:numId w:val="17"/>
        </w:numPr>
      </w:pPr>
      <w:r>
        <w:rPr/>
        <w:t xml:space="preserve">Coupe verticale au droit du système d’attache représentant le support visé </w:t>
      </w:r>
    </w:p>
    <w:p>
      <w:pPr>
        <w:pPr/>
        <w:numPr>
          <w:ilvl w:val="0"/>
          <w:numId w:val="17"/>
        </w:numPr>
      </w:pPr>
      <w:r>
        <w:rPr/>
        <w:t xml:space="preserve">Coupe vertical au droit du système d’attache visé en zone sismique</w:t>
      </w:r>
    </w:p>
    <w:p>
      <w:pPr>
        <w:pPr/>
        <w:numPr>
          <w:ilvl w:val="0"/>
          <w:numId w:val="17"/>
        </w:numPr>
      </w:pPr>
      <w:r>
        <w:rPr/>
        <w:t xml:space="preserve">Illustration du principe de montage.</w:t>
      </w:r>
    </w:p>
    <w:p>
      <w:pPr>
        <w:pPr/>
        <w:numPr>
          <w:ilvl w:val="0"/>
          <w:numId w:val="17"/>
        </w:numPr>
      </w:pPr>
      <w:r>
        <w:rPr/>
        <w:t xml:space="preserve">Coupe au droit du recoupement de la lame d’air</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4ED3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832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231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BE8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32C0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7459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9BC4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80AF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BE33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2026-06-23T23:52:28+02:00</dcterms:created>
  <dcterms:modified xsi:type="dcterms:W3CDTF">2026-06-23T23:52:28+02:00</dcterms:modified>
</cp:coreProperties>
</file>

<file path=docProps/custom.xml><?xml version="1.0" encoding="utf-8"?>
<Properties xmlns="http://schemas.openxmlformats.org/officeDocument/2006/custom-properties" xmlns:vt="http://schemas.openxmlformats.org/officeDocument/2006/docPropsVTypes"/>
</file>