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22 - Édité le 17/04/2026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22 « Installations et réseaux hydrauliques intérieurs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d’alimentation du réseau d’Eau Destinée à la Consommation Humaine en eau préchauffée</w:t>
      </w:r>
    </w:p>
    <w:p>
      <w:pPr/>
      <w:r>
        <w:rPr>
          <w:rStyle w:val="font_h1"/>
        </w:rPr>
        <w:t xml:space="preserve">1. Généralités</w:t>
      </w:r>
    </w:p>
    <w:p>
      <w:pPr/>
      <w:r>
        <w:rPr>
          <w:rStyle w:val="font_h1"/>
        </w:rPr>
        <w:t xml:space="preserve">2. Principe</w:t>
      </w:r>
    </w:p>
    <w:p>
      <w:pPr/>
      <w:r>
        <w:rPr>
          <w:rStyle w:val="font_h1"/>
        </w:rPr>
        <w:t xml:space="preserve">3. Domaine d'emploi</w:t>
      </w:r>
    </w:p>
    <w:p>
      <w:pPr>
        <w:ind w:left="720" w:right="0"/>
      </w:pPr>
      <w:r>
        <w:rPr>
          <w:rStyle w:val="font_h2"/>
        </w:rPr>
        <w:t xml:space="preserve">3.1. Domaine d'emploi visé</w:t>
      </w:r>
    </w:p>
    <w:p>
      <w:pPr/>
      <w:r>
        <w:rPr/>
        <w:t xml:space="preserve">Validé par le Groupe Spécialisé le 01/01/2017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Définir le domaine d'emploi de la qualité d'eau: dureté TH, TAC, sulfates, chlore admissible.Dans le cas d'eau très dure, la préconisation de procédé de traitement d'eau type adoucisseur serait à étudier selon les procédés.Les schémas des ATEC doivent inclure l'emplacement du prétraitement d'eau.</w:t>
      </w:r>
    </w:p>
    <w:p>
      <w:pPr>
        <w:ind w:left="720" w:right="0"/>
      </w:pPr>
      <w:r>
        <w:rPr>
          <w:rStyle w:val="font_h2"/>
        </w:rPr>
        <w:t xml:space="preserve">3.2. Conditions d'emploi</w:t>
      </w:r>
    </w:p>
    <w:p>
      <w:pPr>
        <w:ind w:left="720" w:right="0"/>
      </w:pPr>
      <w:r>
        <w:rPr>
          <w:rStyle w:val="font_h2"/>
        </w:rPr>
        <w:t xml:space="preserve">3.3. Configurations possibles</w:t>
      </w:r>
    </w:p>
    <w:p>
      <w:pPr>
        <w:ind w:left="720" w:right="0"/>
      </w:pPr>
      <w:r>
        <w:rPr>
          <w:rStyle w:val="font_h2"/>
        </w:rPr>
        <w:t xml:space="preserve">3.4. Conditions de limite d'emploi</w:t>
      </w:r>
    </w:p>
    <w:p>
      <w:pPr>
        <w:ind w:left="720" w:right="0"/>
      </w:pPr>
      <w:r>
        <w:rPr>
          <w:rStyle w:val="font_h2"/>
        </w:rPr>
        <w:t xml:space="preserve">3.5. Caractéristiques de performances</w:t>
      </w:r>
    </w:p>
    <w:p>
      <w:pPr/>
      <w:r>
        <w:rPr/>
        <w:t xml:space="preserve">Validé par le Groupe Spécialisé le 01/01/2017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 des performances énergétiques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Performances énergétiques conformément à l'arrêté du 11 octobre 2013 relatif au titre V sur la base du référentiel CAPE/RECADO-PQE rév 01 pour chaque gamme présentée.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performances doivent être testées sur banc RECADO et être indiquées dans l'ATEC en précisant impérativement que les tests ont été effectués sur procédé neuf.</w:t>
      </w:r>
    </w:p>
    <w:p>
      <w:pPr>
        <w:ind w:left="720" w:right="0"/>
      </w:pPr>
      <w:r>
        <w:rPr>
          <w:rStyle w:val="font_h2"/>
        </w:rPr>
        <w:t xml:space="preserve">3.6. Compatibilité avec les autres traitements</w:t>
      </w:r>
    </w:p>
    <w:p>
      <w:pPr>
        <w:ind w:left="720" w:right="0"/>
      </w:pPr>
      <w:r>
        <w:rPr>
          <w:rStyle w:val="font_h2"/>
        </w:rPr>
        <w:t xml:space="preserve">3.7. Compatibilté avec les autres matériaux</w:t>
      </w:r>
    </w:p>
    <w:p>
      <w:pPr/>
      <w:r>
        <w:rPr>
          <w:rStyle w:val="font_h1"/>
        </w:rPr>
        <w:t xml:space="preserve">4. Eléments et matériaux</w:t>
      </w:r>
    </w:p>
    <w:p>
      <w:pPr/>
      <w:r>
        <w:rPr>
          <w:rStyle w:val="font_h1"/>
        </w:rPr>
        <w:t xml:space="preserve">5. Fabrication-Contrôles</w:t>
      </w:r>
    </w:p>
    <w:p>
      <w:pPr/>
      <w:r>
        <w:rPr>
          <w:rStyle w:val="font_h1"/>
        </w:rPr>
        <w:t xml:space="preserve">6. Identification du produit</w:t>
      </w:r>
    </w:p>
    <w:p>
      <w:pPr/>
      <w:r>
        <w:rPr>
          <w:rStyle w:val="font_h1"/>
        </w:rPr>
        <w:t xml:space="preserve">7. Conception, dimensionnement</w:t>
      </w:r>
    </w:p>
    <w:p>
      <w:pPr/>
      <w:r>
        <w:rPr>
          <w:rStyle w:val="font_h1"/>
        </w:rPr>
        <w:t xml:space="preserve">8. Mise en oeuvre et préconisation de pose</w:t>
      </w:r>
    </w:p>
    <w:p>
      <w:pPr>
        <w:ind w:left="720" w:right="0"/>
      </w:pPr>
      <w:r>
        <w:rPr>
          <w:rStyle w:val="font_h2"/>
        </w:rPr>
        <w:t xml:space="preserve">8.1. Préconisation générale</w:t>
      </w:r>
    </w:p>
    <w:p>
      <w:pPr/>
      <w:r>
        <w:rPr/>
        <w:t xml:space="preserve">Validé par le Groupe Spécialisé le 01/01/2017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précisément les règles de montage  et les conditions de mise en œuvre du système.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Notice technique détaillée et complète (très important). </w:t>
      </w:r>
    </w:p>
    <w:p>
      <w:pPr>
        <w:pPr/>
        <w:numPr>
          <w:ilvl w:val="0"/>
          <w:numId w:val="9"/>
        </w:numPr>
      </w:pPr>
      <w:r>
        <w:rPr/>
        <w:t xml:space="preserve">indiquer et décrire les pièces démontables et accessibles.</w:t>
      </w:r>
    </w:p>
    <w:p>
      <w:pPr>
        <w:pPr/>
        <w:numPr>
          <w:ilvl w:val="0"/>
          <w:numId w:val="9"/>
        </w:numPr>
      </w:pPr>
      <w:r>
        <w:rPr/>
        <w:t xml:space="preserve">indiquer les robinets thermostatiques en amont de chaque point  d'usage destiné aux douches lors d'une configuration "mitigeur" et "mixte".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Schéma de montage.</w:t>
      </w:r>
    </w:p>
    <w:p>
      <w:pPr>
        <w:pPr/>
        <w:numPr>
          <w:ilvl w:val="0"/>
          <w:numId w:val="10"/>
        </w:numPr>
      </w:pPr>
      <w:r>
        <w:rPr/>
        <w:t xml:space="preserve">indiquer  les pièces démontables et accessibles.</w:t>
      </w:r>
    </w:p>
    <w:p>
      <w:pPr>
        <w:pPr/>
        <w:numPr>
          <w:ilvl w:val="0"/>
          <w:numId w:val="10"/>
        </w:numPr>
      </w:pPr>
      <w:r>
        <w:rPr/>
        <w:t xml:space="preserve">indiquer les robinets thermostatiques en amont de chaque point  d'usage destiné aux douches lors d'une configuration "mitigeur" et "mixte".</w:t>
      </w:r>
    </w:p>
    <w:p>
      <w:pPr/>
      <w:r>
        <w:rPr>
          <w:rStyle w:val="font_h1"/>
        </w:rPr>
        <w:t xml:space="preserve">9. Maintenance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E27ED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4716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2026-04-17T10:26:06+02:00</dcterms:created>
  <dcterms:modified xsi:type="dcterms:W3CDTF">2026-04-17T10:26:06+02:00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