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22 - Édité le 22/07/2026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22 « Installations et réseaux hydrauliques intérieurs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Traitement de lutte contre la corrosion et l'entartrage des réseaux d'eau chaude sanitaire</w:t>
      </w:r>
    </w:p>
    <w:p>
      <w:pPr/>
      <w:r>
        <w:rPr>
          <w:rStyle w:val="font_h1"/>
        </w:rPr>
        <w:t xml:space="preserve">1. Définition du procédé</w:t>
      </w:r>
    </w:p>
    <w:p>
      <w:pPr/>
      <w:r>
        <w:rPr/>
        <w:t xml:space="preserve">Validé par le Groupe Spécialisé le 11/06/2019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une cuve de fabrication de produit « filmogène » peut être autorisée pour la fabrication de d’autre produits à lacondition :</w:t>
      </w:r>
    </w:p>
    <w:p>
      <w:pPr>
        <w:pPr/>
        <w:numPr>
          <w:ilvl w:val="0"/>
          <w:numId w:val="9"/>
        </w:numPr>
      </w:pPr>
      <w:r>
        <w:rPr/>
        <w:t xml:space="preserve">que les matières premières soient listées dans la circulaire du 28 mars 2000,</w:t>
      </w:r>
    </w:p>
    <w:p>
      <w:pPr>
        <w:pPr/>
        <w:numPr>
          <w:ilvl w:val="0"/>
          <w:numId w:val="9"/>
        </w:numPr>
      </w:pPr>
      <w:r>
        <w:rPr/>
        <w:t xml:space="preserve">ou qu’elles possèdent une saisine de l’AFSSA pour sa qualité alimentaire,</w:t>
      </w:r>
    </w:p>
    <w:p>
      <w:pPr>
        <w:pPr/>
        <w:numPr>
          <w:ilvl w:val="0"/>
          <w:numId w:val="9"/>
        </w:numPr>
      </w:pPr>
      <w:r>
        <w:rPr/>
        <w:t xml:space="preserve">ou que les matières premières soient parmis la liste positive des constituants autorisés dans les produits de nettoyagedestinés au contact alimentaires et repris en annexe de l’arrêté du 8 septembre 1999 modifié par l’arrêté du 19 décembre</w:t>
      </w:r>
    </w:p>
    <w:p>
      <w:pPr>
        <w:pPr/>
        <w:numPr>
          <w:ilvl w:val="1"/>
          <w:numId w:val="9"/>
        </w:numPr>
      </w:pPr>
      <w:r>
        <w:rPr/>
        <w:t xml:space="preserve">Les produits de nettoyage intégrant des substances ou constituants ne figurant pas sur la liste positive de l’arrêtédu 8 septembre 1999 modifié ou de l’arrêté du 19 décembre 2013 doivent être homologués préalablement suivant laprocédure l’avis de l’AFSSA (Anses) du 2 aout 2017.</w:t>
      </w:r>
    </w:p>
    <w:p>
      <w:pPr>
        <w:pPr/>
        <w:numPr>
          <w:ilvl w:val="0"/>
          <w:numId w:val="9"/>
        </w:numPr>
      </w:pPr>
      <w:r>
        <w:rPr/>
        <w:t xml:space="preserve">que les matières premières soient compatibles entre elles.</w:t>
      </w:r>
    </w:p>
    <w:p>
      <w:pPr>
        <w:pPr/>
        <w:numPr>
          <w:ilvl w:val="0"/>
          <w:numId w:val="9"/>
        </w:numPr>
      </w:pPr>
      <w:r>
        <w:rPr/>
        <w:t xml:space="preserve">que la société ait un protocole de rinçage adapté.</w:t>
      </w:r>
    </w:p>
    <w:p>
      <w:pPr/>
      <w:r>
        <w:rPr/>
        <w:t xml:space="preserve">Toute autre matière première ou procédure de rinçage ne répondant pas à ces exigences ne sera pas autorisée à êtreintroduite dans la cuve de fabrication destinée aux produits « filmogènes ».</w:t>
      </w:r>
    </w:p>
    <w:p>
      <w:pPr/>
      <w:r>
        <w:rPr/>
        <w:t xml:space="preserve">Le GS 19 rappelle que cette commission privilégie que les cuves de fabrication de produits filmogènes soient uniquementdédiées aux produits filmogènes. De plus, le GS interdit tout produit qui pourrait, même à moindre risque, être néfaste à lasanté humaine.</w:t>
      </w:r>
    </w:p>
    <w:p>
      <w:pPr/>
      <w:r>
        <w:rPr/>
        <w:t xml:space="preserve">Toute société répondant à cette décision générale n’aura pas besoin de présenter son dossier en commission du GS 19 pourAvis sur le sujet. Cependant, elle devra systématiquement monter un dossier à présenter au CSTB prouvant le respect auxexigences exposées ci-dessus (liste des matières premières, qualification selon la circulaire du 28 mars 2000, l’arrêté du 19décembre 2013 ou saisine AFSSA, protocole de rinçage, compatibilité avec le filmogène,).</w:t>
      </w:r>
    </w:p>
    <w:p>
      <w:pPr/>
      <w:r>
        <w:rPr>
          <w:rStyle w:val="font_h1"/>
        </w:rPr>
        <w:t xml:space="preserve">2. Objectifs du procédé</w:t>
      </w:r>
    </w:p>
    <w:p>
      <w:pPr>
        <w:ind w:left="720" w:right="0"/>
      </w:pPr>
      <w:r>
        <w:rPr>
          <w:rStyle w:val="font_h2"/>
        </w:rPr>
        <w:t xml:space="preserve">2.1. Principe du procédé</w:t>
      </w:r>
    </w:p>
    <w:p>
      <w:pPr>
        <w:ind w:left="720" w:right="0"/>
      </w:pPr>
      <w:r>
        <w:rPr>
          <w:rStyle w:val="font_h2"/>
        </w:rPr>
        <w:t xml:space="preserve">2.2. Action du procédé</w:t>
      </w:r>
    </w:p>
    <w:p>
      <w:pPr>
        <w:ind w:left="720" w:right="0"/>
      </w:pPr>
      <w:r>
        <w:rPr>
          <w:rStyle w:val="font_h2"/>
        </w:rPr>
        <w:t xml:space="preserve">2.3. Suivi de l’efficacité</w:t>
      </w:r>
    </w:p>
    <w:p>
      <w:pPr/>
      <w:r>
        <w:rPr>
          <w:rStyle w:val="font_h1"/>
        </w:rPr>
        <w:t xml:space="preserve">3. Domaine d'application</w:t>
      </w:r>
    </w:p>
    <w:p>
      <w:pPr>
        <w:ind w:left="720" w:right="0"/>
      </w:pPr>
      <w:r>
        <w:rPr>
          <w:rStyle w:val="font_h2"/>
        </w:rPr>
        <w:t xml:space="preserve">3.1. Domaine d’emploi visé</w:t>
      </w:r>
    </w:p>
    <w:p>
      <w:pPr>
        <w:ind w:left="720" w:right="0"/>
      </w:pPr>
      <w:r>
        <w:rPr>
          <w:rStyle w:val="font_h2"/>
        </w:rPr>
        <w:t xml:space="preserve">3.2. Compatibilité avec les autres traitements</w:t>
      </w:r>
    </w:p>
    <w:p>
      <w:pPr>
        <w:ind w:left="720" w:right="0"/>
      </w:pPr>
      <w:r>
        <w:rPr>
          <w:rStyle w:val="font_h2"/>
        </w:rPr>
        <w:t xml:space="preserve">3.3. Température de l’eau</w:t>
      </w:r>
    </w:p>
    <w:p>
      <w:pPr/>
      <w:r>
        <w:rPr>
          <w:rStyle w:val="font_h1"/>
        </w:rPr>
        <w:t xml:space="preserve">4. Produits et équipements</w:t>
      </w:r>
    </w:p>
    <w:p>
      <w:pPr>
        <w:ind w:left="720" w:right="0"/>
      </w:pPr>
      <w:r>
        <w:rPr>
          <w:rStyle w:val="font_h2"/>
        </w:rPr>
        <w:t xml:space="preserve">4.1. Produits</w:t>
      </w:r>
    </w:p>
    <w:p>
      <w:pPr>
        <w:ind w:left="720" w:right="0"/>
      </w:pPr>
      <w:r>
        <w:rPr>
          <w:rStyle w:val="font_h2"/>
        </w:rPr>
        <w:t xml:space="preserve">4.2. Equipements</w:t>
      </w:r>
    </w:p>
    <w:p>
      <w:pPr/>
      <w:r>
        <w:rPr>
          <w:rStyle w:val="font_h1"/>
        </w:rPr>
        <w:t xml:space="preserve">5. Fabrication et contrôles de fabrication</w:t>
      </w:r>
    </w:p>
    <w:p>
      <w:pPr>
        <w:ind w:left="720" w:right="0"/>
      </w:pPr>
      <w:r>
        <w:rPr>
          <w:rStyle w:val="font_h2"/>
        </w:rPr>
        <w:t xml:space="preserve">5.1. Réception des matières premières</w:t>
      </w:r>
    </w:p>
    <w:p>
      <w:pPr>
        <w:ind w:left="720" w:right="0"/>
      </w:pPr>
      <w:r>
        <w:rPr>
          <w:rStyle w:val="font_h2"/>
        </w:rPr>
        <w:t xml:space="preserve">5.2. Contrôle sur produit fini</w:t>
      </w:r>
    </w:p>
    <w:p>
      <w:pPr>
        <w:ind w:left="720" w:right="0"/>
      </w:pPr>
      <w:r>
        <w:rPr>
          <w:rStyle w:val="font_h2"/>
        </w:rPr>
        <w:t xml:space="preserve">5.3. Satisfaction aux lois et règlements en vigueur</w:t>
      </w:r>
    </w:p>
    <w:p>
      <w:pPr/>
      <w:r>
        <w:rPr/>
        <w:t xml:space="preserve">Validé par le Groupe Spécialisé le 07/12/2016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produits ou les matières premières constituant le produit, en application aux articles L.21 et R.1321-50 du code de la santé publique modifiés par les décrets n°2010-344 du 31 mars 2010 – art.37 et n°2011-385 du 11 avril 2011 – art1 du décret n°2007-49 du 11 janvier 2007 relatif à la sécurité sanitaire des eaux destinées à la consommation humaine qui abroge le décret 2001-1120 qui abrogeait le décret 89-3, devront :</w:t>
      </w:r>
    </w:p>
    <w:p>
      <w:pPr>
        <w:pPr/>
        <w:numPr>
          <w:ilvl w:val="0"/>
          <w:numId w:val="10"/>
        </w:numPr>
      </w:pPr>
      <w:r>
        <w:rPr/>
        <w:t xml:space="preserve">être listés comme substances autorisées dans la circulaire DG 5/VS 4 n°2000-166 du 28 mars 2000 relative aux produits de procédés de traitement des eaux destinées à la consommation humaine, ou avoir un Avis Favorable d’autorisation de mise sur le marché.</w:t>
      </w:r>
    </w:p>
    <w:p>
      <w:pPr>
        <w:pPr/>
        <w:numPr>
          <w:ilvl w:val="0"/>
          <w:numId w:val="10"/>
        </w:numPr>
      </w:pPr>
      <w:r>
        <w:rPr/>
        <w:t xml:space="preserve">respecter les normes de pureté AFNOR figurant entre parenthèses après le nom de la substance dans la circulaire DG 5/VS 4 n° 2000-166 du 28 mars 2000 relative aux produits de procédés de traitement des eaux destinées à la consommation humaine ou respecter les critères de pureté définis en annexe II de la circulaire du 7 mai 1990 relative aux produits et procédés de traitement des eaux destinées à la consommation humaine.</w:t>
      </w:r>
    </w:p>
    <w:p>
      <w:pPr/>
      <w:r>
        <w:rPr/>
        <w:t xml:space="preserve">La qualité d’eau rentrant dans la formulation de produit devra respecter l’article L1321-1 du code de la santé publique.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Déclaration écrite du demandeur.</w:t>
      </w:r>
    </w:p>
    <w:p>
      <w:pPr/>
      <w:r>
        <w:rPr/>
        <w:t xml:space="preserve">Liste des matières premières composant les produits.</w:t>
      </w:r>
    </w:p>
    <w:p>
      <w:pPr/>
      <w:r>
        <w:rPr/>
        <w:t xml:space="preserve">Certificat fournisseur de conformité aux normes AFNOR conformément à la circulaire du 28 mars 2000, ou feuille de calcul répondant à la circulaire du 7 mai 1990.</w:t>
      </w:r>
    </w:p>
    <w:p>
      <w:pPr/>
      <w:r>
        <w:rPr/>
        <w:t xml:space="preserve">Éventuellement, autorisation de mise sur le marché délivrée par la Direction Générale de la Santé.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Conformité à l'une des deux circulaires.</w:t>
      </w:r>
    </w:p>
    <w:p>
      <w:pPr/>
      <w:r>
        <w:rPr/>
        <w:t xml:space="preserve">Les matières premières doivent être listées dans la circulaire du 28 mars 2000 ou une autorisation de mise sur le marché.</w:t>
      </w:r>
    </w:p>
    <w:p>
      <w:pPr/>
      <w:r>
        <w:rPr>
          <w:rStyle w:val="font_h1"/>
        </w:rPr>
        <w:t xml:space="preserve">6. Certification</w:t>
      </w:r>
    </w:p>
    <w:p>
      <w:pPr/>
      <w:r>
        <w:rPr>
          <w:rStyle w:val="font_h1"/>
        </w:rPr>
        <w:t xml:space="preserve">7. Identification</w:t>
      </w:r>
    </w:p>
    <w:p>
      <w:pPr>
        <w:ind w:left="720" w:right="0"/>
      </w:pPr>
      <w:r>
        <w:rPr>
          <w:rStyle w:val="font_h2"/>
        </w:rPr>
        <w:t xml:space="preserve">7.1. Identification du produit</w:t>
      </w:r>
    </w:p>
    <w:p>
      <w:pPr>
        <w:ind w:left="720" w:right="0"/>
      </w:pPr>
      <w:r>
        <w:rPr>
          <w:rStyle w:val="font_h2"/>
        </w:rPr>
        <w:t xml:space="preserve">7.2. Identification du procédé dans l’installation ou sur le poste de traitement</w:t>
      </w:r>
    </w:p>
    <w:p>
      <w:pPr/>
      <w:r>
        <w:rPr>
          <w:rStyle w:val="font_h1"/>
        </w:rPr>
        <w:t xml:space="preserve">8. Appréciation de l’aptitude à l’emploi, Prise en charge de la mise en œuvre et du suivi technique</w:t>
      </w:r>
    </w:p>
    <w:p>
      <w:pPr>
        <w:ind w:left="720" w:right="0"/>
      </w:pPr>
      <w:r>
        <w:rPr>
          <w:rStyle w:val="font_h2"/>
        </w:rPr>
        <w:t xml:space="preserve">8.1. Réception – Examen préalable d’une installation</w:t>
      </w:r>
    </w:p>
    <w:p>
      <w:pPr>
        <w:ind w:left="720" w:right="0"/>
      </w:pPr>
      <w:r>
        <w:rPr>
          <w:rStyle w:val="font_h2"/>
        </w:rPr>
        <w:t xml:space="preserve">8.2. Mise en œuvre du procédé</w:t>
      </w:r>
    </w:p>
    <w:p>
      <w:pPr>
        <w:ind w:left="720" w:right="0"/>
      </w:pPr>
      <w:r>
        <w:rPr>
          <w:rStyle w:val="font_h2"/>
        </w:rPr>
        <w:t xml:space="preserve">8.3. Suivi technique du procédé</w:t>
      </w:r>
    </w:p>
    <w:p>
      <w:pPr/>
      <w:r>
        <w:rPr>
          <w:rStyle w:val="font_h1"/>
        </w:rPr>
        <w:t xml:space="preserve">9. Dispositions particulières</w:t>
      </w:r>
    </w:p>
    <w:p>
      <w:pPr>
        <w:ind w:left="720" w:right="0"/>
      </w:pPr>
      <w:r>
        <w:rPr>
          <w:rStyle w:val="font_h2"/>
        </w:rPr>
        <w:t xml:space="preserve">9.1. Armoire de proportionnalité</w:t>
      </w:r>
    </w:p>
    <w:p>
      <w:pPr>
        <w:ind w:left="720" w:right="0"/>
      </w:pPr>
      <w:r>
        <w:rPr>
          <w:rStyle w:val="font_h2"/>
        </w:rPr>
        <w:t xml:space="preserve">9.2. Capacité de dilution</w:t>
      </w:r>
    </w:p>
    <w:p>
      <w:pPr>
        <w:ind w:left="720" w:right="0"/>
      </w:pPr>
      <w:r>
        <w:rPr>
          <w:rStyle w:val="font_h2"/>
        </w:rPr>
        <w:t xml:space="preserve">9.3. Emplacement du point d’injection</w:t>
      </w:r>
    </w:p>
    <w:p>
      <w:pPr/>
      <w:r>
        <w:rPr>
          <w:rStyle w:val="font_h1"/>
        </w:rPr>
        <w:t xml:space="preserve">10. Garanties et responsabilités</w:t>
      </w:r>
    </w:p>
    <w:p>
      <w:pPr/>
      <w:r>
        <w:rPr>
          <w:rStyle w:val="font_h1"/>
        </w:rPr>
        <w:t xml:space="preserve">11. Commercialisation</w:t>
      </w:r>
    </w:p>
    <w:p>
      <w:pPr>
        <w:ind w:left="720" w:right="0"/>
      </w:pPr>
      <w:r>
        <w:rPr>
          <w:rStyle w:val="font_h2"/>
        </w:rPr>
        <w:t xml:space="preserve">11.1. Produits et équipements</w:t>
      </w:r>
    </w:p>
    <w:p>
      <w:pPr>
        <w:ind w:left="720" w:right="0"/>
      </w:pPr>
      <w:r>
        <w:rPr>
          <w:rStyle w:val="font_h2"/>
        </w:rPr>
        <w:t xml:space="preserve">11.2. Distributeurs et applicateurs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0113C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CA2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2026-07-22T17:24:15+02:00</dcterms:created>
  <dcterms:modified xsi:type="dcterms:W3CDTF">2026-07-22T17:24:15+02:00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