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29/10/2025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Moyen d'accès au réseau d'assainissement</w:t>
      </w:r>
    </w:p>
    <w:p>
      <w:pPr/>
      <w:r>
        <w:rPr>
          <w:rStyle w:val="font_h1"/>
        </w:rPr>
        <w:t xml:space="preserve">1. Principe</w:t>
      </w:r>
    </w:p>
    <w:p>
      <w:pPr/>
      <w:r>
        <w:rPr/>
        <w:t xml:space="preserve">Validé par le Groupe Spécialisé le 17/09/2019</w:t>
      </w:r>
    </w:p>
    <w:p>
      <w:pPr/>
      <w:r>
        <w:rPr>
          <w:b/>
          <w:bCs/>
        </w:rPr>
        <w:t xml:space="preserve">Description</w:t>
      </w:r>
    </w:p>
    <w:p>
      <w:pPr/>
      <w:r>
        <w:rPr/>
        <w:t xml:space="preserve">Préciser :</w:t>
      </w:r>
    </w:p>
    <w:p>
      <w:pPr>
        <w:pPr/>
        <w:numPr>
          <w:ilvl w:val="0"/>
          <w:numId w:val="9"/>
        </w:numPr>
      </w:pPr>
      <w:r>
        <w:rPr/>
        <w:t xml:space="preserve">La terminologie du composant (regard, boite etc…) et la fonction du composant (repérage des collecteurs, changements de direction de pente ou de diamètre du collecteur, raccordement d'une ou deux antennes sur le collecteur principal, l’accès à un personnel et/ou matériel pour l’inspection et l’entretien).</w:t>
      </w:r>
    </w:p>
    <w:p>
      <w:pPr>
        <w:pPr/>
        <w:numPr>
          <w:ilvl w:val="0"/>
          <w:numId w:val="9"/>
        </w:numPr>
      </w:pPr>
      <w:r>
        <w:rPr/>
        <w:t xml:space="preserve">La matière</w:t>
      </w:r>
    </w:p>
    <w:p>
      <w:pPr>
        <w:pPr/>
        <w:numPr>
          <w:ilvl w:val="0"/>
          <w:numId w:val="9"/>
        </w:numPr>
      </w:pPr>
      <w:r>
        <w:rPr/>
        <w:t xml:space="preserve">Les différents sous-composants </w:t>
      </w:r>
    </w:p>
    <w:p>
      <w:pPr>
        <w:pPr/>
        <w:numPr>
          <w:ilvl w:val="0"/>
          <w:numId w:val="9"/>
        </w:numPr>
      </w:pPr>
      <w:r>
        <w:rPr/>
        <w:t xml:space="preserve">La nécessité d’une couronne de répartition sous charge roulante</w:t>
      </w:r>
    </w:p>
    <w:p>
      <w:pPr>
        <w:pPr/>
        <w:numPr>
          <w:ilvl w:val="0"/>
          <w:numId w:val="9"/>
        </w:numPr>
      </w:pPr>
      <w:r>
        <w:rPr/>
        <w:t xml:space="preserve">Le mode d'assemblage des différents éléments.</w:t>
      </w:r>
    </w:p>
    <w:p>
      <w:pPr>
        <w:pPr/>
        <w:numPr>
          <w:ilvl w:val="0"/>
          <w:numId w:val="9"/>
        </w:numPr>
      </w:pPr>
      <w:r>
        <w:rPr/>
        <w:t xml:space="preserve">Le pré-assemblage en usine (si pertinent)</w:t>
      </w:r>
    </w:p>
    <w:p>
      <w:pPr>
        <w:pPr/>
        <w:numPr>
          <w:ilvl w:val="0"/>
          <w:numId w:val="9"/>
        </w:numPr>
      </w:pPr>
      <w:r>
        <w:rPr/>
        <w:t xml:space="preserve">Les hauteurs maximales admissibles,</w:t>
      </w:r>
    </w:p>
    <w:p>
      <w:pPr>
        <w:pPr/>
        <w:numPr>
          <w:ilvl w:val="0"/>
          <w:numId w:val="9"/>
        </w:numPr>
      </w:pPr>
      <w:r>
        <w:rPr/>
        <w:t xml:space="preserve">La présence éventuelle d’une échelle ou barreaux</w:t>
      </w:r>
    </w:p>
    <w:p>
      <w:pPr>
        <w:pPr/>
        <w:numPr>
          <w:ilvl w:val="0"/>
          <w:numId w:val="9"/>
        </w:numPr>
      </w:pPr>
      <w:r>
        <w:rPr/>
        <w:t xml:space="preserve">La conformité aux exigences de la norme NF EN 476</w:t>
      </w:r>
    </w:p>
    <w:p>
      <w:pPr>
        <w:pPr/>
        <w:numPr>
          <w:ilvl w:val="0"/>
          <w:numId w:val="9"/>
        </w:numPr>
      </w:pPr>
      <w:r>
        <w:rPr/>
        <w:t xml:space="preserve">Les limites en termes de diamètres raccordés</w:t>
      </w:r>
    </w:p>
    <w:p>
      <w:pPr/>
      <w:r>
        <w:rPr/>
        <w:t xml:space="preserve">Consulter les documents : NF EN 476, Memento pour la conception et le dimensionnement des systèmes de gestion des eaux pluviales et de collecte des eaux usées (ASTEE)</w:t>
      </w:r>
    </w:p>
    <w:p>
      <w:pPr/>
      <w:r>
        <w:rPr>
          <w:b/>
          <w:bCs/>
        </w:rPr>
        <w:t xml:space="preserve">Justification</w:t>
      </w:r>
    </w:p>
    <w:p>
      <w:pPr/>
      <w:r>
        <w:rPr/>
        <w:t xml:space="preserve">Visite d’usine, de chantier, références.</w:t>
      </w:r>
    </w:p>
    <w:p>
      <w:pPr/>
      <w:r>
        <w:rPr>
          <w:b/>
          <w:bCs/>
        </w:rPr>
        <w:t xml:space="preserve">Critères d'évaluation</w:t>
      </w:r>
    </w:p>
    <w:p>
      <w:pPr/>
      <w:r>
        <w:rPr/>
        <w:t xml:space="preserve">Conformité aux indications du Dossier Technique, conformité de la terminologie aux règles de l’art.</w:t>
      </w:r>
    </w:p>
    <w:p>
      <w:pPr/>
      <w:r>
        <w:rPr>
          <w:rStyle w:val="font_h1"/>
        </w:rPr>
        <w:t xml:space="preserve">2. Procédé de fabrication</w:t>
      </w:r>
    </w:p>
    <w:p>
      <w:pPr/>
      <w:r>
        <w:rPr/>
        <w:t xml:space="preserve">Validé par le Groupe Spécialisé le 17/09/2019</w:t>
      </w:r>
    </w:p>
    <w:p>
      <w:pPr/>
      <w:r>
        <w:rPr>
          <w:b/>
          <w:bCs/>
        </w:rPr>
        <w:t xml:space="preserve">Description</w:t>
      </w:r>
    </w:p>
    <w:p>
      <w:pPr/>
      <w:r>
        <w:rPr/>
        <w:t xml:space="preserve">Préciser le ou les procédés de fabrication des différents sous composants ainsi que le mode de réalisation des soudures éventuelles.</w:t>
      </w:r>
    </w:p>
    <w:p>
      <w:pPr/>
      <w:r>
        <w:rPr>
          <w:b/>
          <w:bCs/>
        </w:rPr>
        <w:t xml:space="preserve">Justification</w:t>
      </w:r>
    </w:p>
    <w:p>
      <w:pPr/>
      <w:r>
        <w:rPr/>
        <w:t xml:space="preserve">Visite d'usine.</w:t>
      </w:r>
    </w:p>
    <w:p>
      <w:pPr/>
      <w:r>
        <w:rPr>
          <w:b/>
          <w:bCs/>
        </w:rPr>
        <w:t xml:space="preserve">Critères d'évaluation</w:t>
      </w:r>
    </w:p>
    <w:p>
      <w:pPr/>
      <w:r>
        <w:rPr/>
        <w:t xml:space="preserve">Adéquation entre l’outil et les objectifs et conformité au Dossier Technique.</w:t>
      </w:r>
    </w:p>
    <w:p>
      <w:pPr/>
      <w:r>
        <w:rPr>
          <w:rStyle w:val="font_h1"/>
        </w:rPr>
        <w:t xml:space="preserve">3. Description du produit fini</w:t>
      </w:r>
    </w:p>
    <w:p>
      <w:pPr>
        <w:ind w:left="720" w:right="0"/>
      </w:pPr>
      <w:r>
        <w:rPr>
          <w:rStyle w:val="font_h2"/>
        </w:rPr>
        <w:t xml:space="preserve">3.1. Aspect</w:t>
      </w:r>
    </w:p>
    <w:p>
      <w:pPr/>
      <w:r>
        <w:rPr/>
        <w:t xml:space="preserve">Validé par le Groupe Spécialisé le 17/09/2019</w:t>
      </w:r>
    </w:p>
    <w:p>
      <w:pPr/>
      <w:r>
        <w:rPr>
          <w:b/>
          <w:bCs/>
        </w:rPr>
        <w:t xml:space="preserve">Description</w:t>
      </w:r>
    </w:p>
    <w:p>
      <w:pPr/>
      <w:r>
        <w:rPr/>
        <w:t xml:space="preserve">Exemple de rédaction :</w:t>
      </w:r>
    </w:p>
    <w:p>
      <w:pPr/>
      <w:r>
        <w:rPr/>
        <w:t xml:space="preserve">« Les surfaces internes et externes de chaque élément, fond, rehausse et cône  ont un aspect moiré ou lisse et sont exemptes de….</w:t>
      </w:r>
    </w:p>
    <w:p>
      <w:pPr/>
      <w:r>
        <w:rPr/>
        <w:t xml:space="preserve">Le regard XXXX est de couleur XXX (RAL XXXX). »</w:t>
      </w:r>
    </w:p>
    <w:p>
      <w:pPr/>
      <w:r>
        <w:rPr>
          <w:b/>
          <w:bCs/>
        </w:rPr>
        <w:t xml:space="preserve">Justification</w:t>
      </w:r>
    </w:p>
    <w:p>
      <w:pPr/>
      <w:r>
        <w:rPr/>
        <w:t xml:space="preserve">Visite d'usine.</w:t>
      </w:r>
    </w:p>
    <w:p>
      <w:pPr/>
      <w:r>
        <w:rPr>
          <w:b/>
          <w:bCs/>
        </w:rPr>
        <w:t xml:space="preserve">Critères d'évaluation</w:t>
      </w:r>
    </w:p>
    <w:p>
      <w:pPr/>
      <w:r>
        <w:rPr/>
        <w:t xml:space="preserve">Conformité aux indications du Dossier Technique.</w:t>
      </w:r>
    </w:p>
    <w:p>
      <w:pPr>
        <w:ind w:left="720" w:right="0"/>
      </w:pPr>
      <w:r>
        <w:rPr>
          <w:rStyle w:val="font_h2"/>
        </w:rPr>
        <w:t xml:space="preserve">3.2. Caractéristiques géométriques</w:t>
      </w:r>
    </w:p>
    <w:p>
      <w:pPr/>
      <w:r>
        <w:rPr/>
        <w:t xml:space="preserve">Validé par le Groupe Spécialisé le 17/09/2019</w:t>
      </w:r>
    </w:p>
    <w:p>
      <w:pPr/>
      <w:r>
        <w:rPr>
          <w:b/>
          <w:bCs/>
        </w:rPr>
        <w:t xml:space="preserve">Description</w:t>
      </w:r>
    </w:p>
    <w:p>
      <w:pPr/>
      <w:r>
        <w:rPr/>
        <w:t xml:space="preserve">Indiquer les caractéristiques dimensionnelles fonctionnelles des différents sous-composants.</w:t>
      </w:r>
    </w:p>
    <w:p>
      <w:pPr/>
      <w:r>
        <w:rPr>
          <w:b/>
          <w:bCs/>
        </w:rPr>
        <w:t xml:space="preserve">Justification</w:t>
      </w:r>
    </w:p>
    <w:p>
      <w:pPr/>
      <w:r>
        <w:rPr/>
        <w:t xml:space="preserve">Rapport d'essais.</w:t>
      </w:r>
    </w:p>
    <w:p>
      <w:pPr/>
      <w:r>
        <w:rPr>
          <w:b/>
          <w:bCs/>
        </w:rPr>
        <w:t xml:space="preserve">Critères d'évaluation</w:t>
      </w:r>
    </w:p>
    <w:p>
      <w:pPr/>
      <w:r>
        <w:rPr/>
        <w:t xml:space="preserve">Conformité aux indications du Dossier Technique.</w:t>
      </w:r>
    </w:p>
    <w:p>
      <w:pPr>
        <w:ind w:left="720" w:right="0"/>
      </w:pPr>
      <w:r>
        <w:rPr>
          <w:rStyle w:val="font_h2"/>
        </w:rPr>
        <w:t xml:space="preserve">3.3. Joints d'étanchéité</w:t>
      </w:r>
    </w:p>
    <w:p>
      <w:pPr/>
      <w:r>
        <w:rPr/>
        <w:t xml:space="preserve">Validé par le Groupe Spécialisé le 17/09/2019</w:t>
      </w:r>
    </w:p>
    <w:p>
      <w:pPr/>
      <w:r>
        <w:rPr>
          <w:b/>
          <w:bCs/>
        </w:rPr>
        <w:t xml:space="preserve">Description</w:t>
      </w:r>
    </w:p>
    <w:p>
      <w:pPr/>
      <w:r>
        <w:rPr/>
        <w:t xml:space="preserve">Indiquer les caractéristiques des joints pour l’assemblage des différents sous-composants.</w:t>
      </w:r>
    </w:p>
    <w:p>
      <w:pPr/>
      <w:r>
        <w:rPr/>
        <w:t xml:space="preserve">Consulter la norme NF EN 681.</w:t>
      </w:r>
    </w:p>
    <w:p>
      <w:pPr/>
      <w:r>
        <w:rPr>
          <w:b/>
          <w:bCs/>
        </w:rPr>
        <w:t xml:space="preserve">Justification</w:t>
      </w:r>
    </w:p>
    <w:p>
      <w:pPr/>
      <w:r>
        <w:rPr/>
        <w:t xml:space="preserve">Rapport d'essais.</w:t>
      </w:r>
    </w:p>
    <w:p>
      <w:pPr/>
      <w:r>
        <w:rPr>
          <w:b/>
          <w:bCs/>
        </w:rPr>
        <w:t xml:space="preserve">Critères d'évaluation</w:t>
      </w:r>
    </w:p>
    <w:p>
      <w:pPr/>
      <w:r>
        <w:rPr/>
        <w:t xml:space="preserve">Conformité aux indications du Dossier Technique.</w:t>
      </w:r>
    </w:p>
    <w:p>
      <w:pPr>
        <w:ind w:left="720" w:right="0"/>
      </w:pPr>
      <w:r>
        <w:rPr>
          <w:rStyle w:val="font_h2"/>
        </w:rPr>
        <w:t xml:space="preserve">3.4. Echelle - Barreaux</w:t>
      </w:r>
    </w:p>
    <w:p>
      <w:pPr/>
      <w:r>
        <w:rPr/>
        <w:t xml:space="preserve">Validé par le Groupe Spécialisé le 17/09/2019</w:t>
      </w:r>
    </w:p>
    <w:p>
      <w:pPr/>
      <w:r>
        <w:rPr>
          <w:b/>
          <w:bCs/>
        </w:rPr>
        <w:t xml:space="preserve">Description</w:t>
      </w:r>
    </w:p>
    <w:p>
      <w:pPr/>
      <w:r>
        <w:rPr/>
        <w:t xml:space="preserve">Il convient de s’assurer de la bonne tenue de ces équipements dans le temps (risque de corrosion). Les nuances d’acier doivent faire l’objet de vérifications.Consulter les normes NF EN 14396, NF EN 13101.</w:t>
      </w:r>
    </w:p>
    <w:p>
      <w:pPr/>
      <w:r>
        <w:rPr>
          <w:b/>
          <w:bCs/>
        </w:rPr>
        <w:t xml:space="preserve">Justification</w:t>
      </w:r>
    </w:p>
    <w:p>
      <w:pPr/>
      <w:r>
        <w:rPr/>
        <w:t xml:space="preserve">Rapport d'essais.</w:t>
      </w:r>
    </w:p>
    <w:p>
      <w:pPr/>
      <w:r>
        <w:rPr>
          <w:b/>
          <w:bCs/>
        </w:rPr>
        <w:t xml:space="preserve">Critères d'évaluation</w:t>
      </w:r>
    </w:p>
    <w:p>
      <w:pPr/>
      <w:r>
        <w:rPr/>
        <w:t xml:space="preserve">Conformité aux indications du Dossier Technique.</w:t>
      </w:r>
    </w:p>
    <w:p>
      <w:pPr>
        <w:ind w:left="720" w:right="0"/>
      </w:pPr>
      <w:r>
        <w:rPr>
          <w:rStyle w:val="font_h2"/>
        </w:rPr>
        <w:t xml:space="preserve">3.5. Dalle de répartition</w:t>
      </w:r>
    </w:p>
    <w:p>
      <w:pPr/>
      <w:r>
        <w:rPr/>
        <w:t xml:space="preserve">Validé par le Groupe Spécialisé le 17/09/2019</w:t>
      </w:r>
    </w:p>
    <w:p>
      <w:pPr/>
      <w:r>
        <w:rPr>
          <w:b/>
          <w:bCs/>
        </w:rPr>
        <w:t xml:space="preserve">Description</w:t>
      </w:r>
    </w:p>
    <w:p>
      <w:pPr/>
      <w:r>
        <w:rPr/>
        <w:t xml:space="preserve">Le fabricant doit pouvoir assurer la fourniture d’une dalle de répartition permettant de ne pas transmettre les charges de surface au regard (si celui-ci n’est pas porteur). La dalle doit pouvoir résister à un effort de compression de 300 kN sans effondrement. Le cahier des charges de la couronne de répartition est déposé au CSTB. Si la dalle de répartition est munie d’ancrage pour la manutention il convient de le préciser et vérifier la résistance de ces ancrages.</w:t>
      </w:r>
    </w:p>
    <w:p>
      <w:pPr/>
      <w:r>
        <w:rPr>
          <w:b/>
          <w:bCs/>
        </w:rPr>
        <w:t xml:space="preserve">Justification</w:t>
      </w:r>
    </w:p>
    <w:p>
      <w:pPr/>
      <w:r>
        <w:rPr/>
        <w:t xml:space="preserve">Visite d’usine.</w:t>
      </w:r>
    </w:p>
    <w:p>
      <w:pPr/>
      <w:r>
        <w:rPr>
          <w:b/>
          <w:bCs/>
        </w:rPr>
        <w:t xml:space="preserve">Illustration</w:t>
      </w:r>
    </w:p>
    <w:p>
      <w:pPr/>
      <w:r>
        <w:rPr/>
        <w:t xml:space="preserve">Rapport d’essai.</w:t>
      </w:r>
    </w:p>
    <w:p>
      <w:pPr/>
      <w:r>
        <w:rPr>
          <w:b/>
          <w:bCs/>
        </w:rPr>
        <w:t xml:space="preserve">Critères d'évaluation</w:t>
      </w:r>
    </w:p>
    <w:p>
      <w:pPr/>
      <w:r>
        <w:rPr/>
        <w:t xml:space="preserve">Conformité aux indications du Dossier Technique.</w:t>
      </w:r>
    </w:p>
    <w:p>
      <w:pPr/>
      <w:r>
        <w:rPr>
          <w:rStyle w:val="font_h1"/>
        </w:rPr>
        <w:t xml:space="preserve">4. Caractéristiques des matières</w:t>
      </w:r>
    </w:p>
    <w:p>
      <w:pPr/>
      <w:r>
        <w:rPr/>
        <w:t xml:space="preserve">Validé par le Groupe Spécialisé le 17/09/2019</w:t>
      </w:r>
    </w:p>
    <w:p>
      <w:pPr/>
      <w:r>
        <w:rPr>
          <w:b/>
          <w:bCs/>
        </w:rPr>
        <w:t xml:space="preserve">Description</w:t>
      </w:r>
    </w:p>
    <w:p>
      <w:pPr/>
      <w:r>
        <w:rPr/>
        <w:t xml:space="preserve">Indiquer les caractéristiques de la matière utilisée pour la fabrication du composant ou celles de la matière fabriquée.</w:t>
      </w:r>
    </w:p>
    <w:p>
      <w:pPr/>
      <w:r>
        <w:rPr/>
        <w:t xml:space="preserve">Consulter le référentiel normatif propre au matériau, et la norme NF EN 10204 (certificats de conformité).</w:t>
      </w:r>
    </w:p>
    <w:p>
      <w:pPr/>
      <w:r>
        <w:rPr>
          <w:b/>
          <w:bCs/>
        </w:rPr>
        <w:t xml:space="preserve">Justification</w:t>
      </w:r>
    </w:p>
    <w:p>
      <w:pPr/>
      <w:r>
        <w:rPr/>
        <w:t xml:space="preserve">Visite d’usine.</w:t>
      </w:r>
    </w:p>
    <w:p>
      <w:pPr/>
      <w:r>
        <w:rPr>
          <w:b/>
          <w:bCs/>
        </w:rPr>
        <w:t xml:space="preserve">Illustration</w:t>
      </w:r>
    </w:p>
    <w:p>
      <w:pPr/>
      <w:r>
        <w:rPr/>
        <w:t xml:space="preserve">Certificat des fournisseurs.</w:t>
      </w:r>
    </w:p>
    <w:p>
      <w:pPr/>
      <w:r>
        <w:rPr>
          <w:b/>
          <w:bCs/>
        </w:rPr>
        <w:t xml:space="preserve">Critères d'évaluation</w:t>
      </w:r>
    </w:p>
    <w:p>
      <w:pPr/>
      <w:r>
        <w:rPr/>
        <w:t xml:space="preserve">Conformité aux indications du Dossier Technique.</w:t>
      </w:r>
    </w:p>
    <w:p>
      <w:pPr/>
      <w:r>
        <w:rPr>
          <w:rStyle w:val="font_h1"/>
        </w:rPr>
        <w:t xml:space="preserve">5. Caractéristiques physiques et mécaniques</w:t>
      </w:r>
    </w:p>
    <w:p>
      <w:pPr/>
      <w:r>
        <w:rPr/>
        <w:t xml:space="preserve">Validé par le Groupe Spécialisé le 17/09/2019</w:t>
      </w:r>
    </w:p>
    <w:p>
      <w:pPr/>
      <w:r>
        <w:rPr>
          <w:b/>
          <w:bCs/>
        </w:rPr>
        <w:t xml:space="preserve">Description</w:t>
      </w:r>
    </w:p>
    <w:p>
      <w:pPr/>
      <w:r>
        <w:rPr/>
        <w:t xml:space="preserve">Indiquer les caractéristiques d’aptitude à l’emploi du produit :</w:t>
      </w:r>
    </w:p>
    <w:p>
      <w:pPr>
        <w:pPr/>
        <w:numPr>
          <w:ilvl w:val="0"/>
          <w:numId w:val="10"/>
        </w:numPr>
      </w:pPr>
      <w:r>
        <w:rPr/>
        <w:t xml:space="preserve">Poids et encombrement.</w:t>
      </w:r>
    </w:p>
    <w:p>
      <w:pPr>
        <w:pPr/>
        <w:numPr>
          <w:ilvl w:val="0"/>
          <w:numId w:val="10"/>
        </w:numPr>
      </w:pPr>
      <w:r>
        <w:rPr/>
        <w:t xml:space="preserve">Module de rigidité de la rehausse </w:t>
      </w:r>
    </w:p>
    <w:p>
      <w:pPr>
        <w:pPr/>
        <w:numPr>
          <w:ilvl w:val="0"/>
          <w:numId w:val="10"/>
        </w:numPr>
      </w:pPr>
      <w:r>
        <w:rPr/>
        <w:t xml:space="preserve">Facteur de fluage </w:t>
      </w:r>
    </w:p>
    <w:p>
      <w:pPr>
        <w:pPr/>
        <w:numPr>
          <w:ilvl w:val="0"/>
          <w:numId w:val="10"/>
        </w:numPr>
      </w:pPr>
      <w:r>
        <w:rPr/>
        <w:t xml:space="preserve">Etanchéité. </w:t>
      </w:r>
    </w:p>
    <w:p>
      <w:pPr>
        <w:pPr/>
        <w:numPr>
          <w:ilvl w:val="0"/>
          <w:numId w:val="10"/>
        </w:numPr>
      </w:pPr>
      <w:r>
        <w:rPr/>
        <w:t xml:space="preserve">Résistance au choc de la cunette</w:t>
      </w:r>
    </w:p>
    <w:p>
      <w:pPr>
        <w:pPr/>
        <w:numPr>
          <w:ilvl w:val="0"/>
          <w:numId w:val="10"/>
        </w:numPr>
      </w:pPr>
      <w:r>
        <w:rPr/>
        <w:t xml:space="preserve">Résistance mécanique des soudures </w:t>
      </w:r>
    </w:p>
    <w:p>
      <w:pPr>
        <w:pPr/>
        <w:numPr>
          <w:ilvl w:val="0"/>
          <w:numId w:val="10"/>
        </w:numPr>
      </w:pPr>
      <w:r>
        <w:rPr/>
        <w:t xml:space="preserve">Résistance en compression de la dalle de répartition</w:t>
      </w:r>
    </w:p>
    <w:p>
      <w:pPr>
        <w:pPr/>
        <w:numPr>
          <w:ilvl w:val="0"/>
          <w:numId w:val="10"/>
        </w:numPr>
      </w:pPr>
      <w:r>
        <w:rPr/>
        <w:t xml:space="preserve">Résistance des dispositifs de manutention</w:t>
      </w:r>
    </w:p>
    <w:p>
      <w:pPr/>
      <w:r>
        <w:rPr/>
        <w:t xml:space="preserve">La capacité minimale requise F mini pour l’anneau de manutention et son ancrage dans le matériau est déterminé selon la procédure suivante :</w:t>
      </w:r>
    </w:p>
    <w:p>
      <w:pPr/>
      <w:r>
        <w:rPr/>
        <w:t xml:space="preserve">Soit :</w:t>
      </w:r>
    </w:p>
    <w:p>
      <w:pPr>
        <w:pPr/>
        <w:numPr>
          <w:ilvl w:val="0"/>
          <w:numId w:val="11"/>
        </w:numPr>
      </w:pPr>
      <w:r>
        <w:rPr/>
        <w:t xml:space="preserve">P : Poids du produit en daN.</w:t>
      </w:r>
    </w:p>
    <w:p>
      <w:pPr>
        <w:pPr/>
        <w:numPr>
          <w:ilvl w:val="0"/>
          <w:numId w:val="11"/>
        </w:numPr>
      </w:pPr>
      <w:r>
        <w:rPr/>
        <w:t xml:space="preserve">n : Nombre de points de levage utiles (n=2).</w:t>
      </w:r>
    </w:p>
    <w:p>
      <w:pPr>
        <w:pPr/>
        <w:numPr>
          <w:ilvl w:val="0"/>
          <w:numId w:val="11"/>
        </w:numPr>
      </w:pPr>
      <w:r>
        <w:rPr/>
        <w:t xml:space="preserve">k : Coefficient de sécurité (pour le béton) k= 2,5</w:t>
      </w:r>
    </w:p>
    <w:p>
      <w:pPr>
        <w:pPr/>
        <w:numPr>
          <w:ilvl w:val="0"/>
          <w:numId w:val="11"/>
        </w:numPr>
      </w:pPr>
      <w:r>
        <w:rPr/>
        <w:t xml:space="preserve">e : Coefficient d’élinguage (e= 1,16, correspondant à un angle au sommet d’élingues de 60°).</w:t>
      </w:r>
    </w:p>
    <w:p>
      <w:pPr>
        <w:pPr/>
        <w:numPr>
          <w:ilvl w:val="0"/>
          <w:numId w:val="11"/>
        </w:numPr>
      </w:pPr>
      <w:r>
        <w:rPr/>
        <w:t xml:space="preserve">D : Coefficient dynamique D=2 correspondant à un levage et un transport sur terrain plat à très peu accidenté.F mini =  k</w:t>
      </w:r>
      <w:r>
        <w:rPr>
          <w:i/>
          <w:iCs/>
        </w:rPr>
        <w:t xml:space="preserve">e</w:t>
      </w:r>
      <w:r>
        <w:rPr/>
        <w:t xml:space="preserve">d*P/n</w:t>
      </w:r>
    </w:p>
    <w:p>
      <w:pPr/>
      <w:r>
        <w:rPr/>
        <w:t xml:space="preserve">Soit dans le cas général du levage en 2 points utiles : F mini= 2,9 P</w:t>
      </w:r>
    </w:p>
    <w:p>
      <w:pPr/>
      <w:r>
        <w:rPr/>
        <w:t xml:space="preserve">L’appareillage d’essai est conçu pour solliciter à l’arrachement les boucles d’ancrage.</w:t>
      </w:r>
    </w:p>
    <w:p>
      <w:pPr/>
      <w:r>
        <w:rPr/>
        <w:t xml:space="preserve">Un essai de type, réalisé sur l’ensemble des bouches d’ancrage, est conduit à la rupture pour une configuration de manutention horizontale.</w:t>
      </w:r>
    </w:p>
    <w:p>
      <w:pPr/>
      <w:r>
        <w:rPr/>
        <w:t xml:space="preserve">La rupture (de la boucle d’ancrage ou du béton) n’intervient pas pour une charge inférieure  à la résistance minimale requise.</w:t>
      </w:r>
    </w:p>
    <w:p>
      <w:pPr/>
      <w:r>
        <w:rPr/>
        <w:t xml:space="preserve">F mini = 2,9 P  </w:t>
      </w:r>
    </w:p>
    <w:p>
      <w:pPr/>
      <w:r>
        <w:rPr/>
        <w:t xml:space="preserve">Consulter les référentiels normatifs (NF EN 13598 pour les thermoplastiques).</w:t>
      </w:r>
    </w:p>
    <w:p>
      <w:pPr/>
      <w:r>
        <w:rPr>
          <w:b/>
          <w:bCs/>
        </w:rPr>
        <w:t xml:space="preserve">Justification</w:t>
      </w:r>
    </w:p>
    <w:p>
      <w:pPr/>
      <w:r>
        <w:rPr/>
        <w:t xml:space="preserve">Rapports d’essai.</w:t>
      </w:r>
    </w:p>
    <w:p>
      <w:pPr/>
      <w:r>
        <w:rPr>
          <w:b/>
          <w:bCs/>
        </w:rPr>
        <w:t xml:space="preserve">Critères d'évaluation</w:t>
      </w:r>
    </w:p>
    <w:p>
      <w:pPr/>
      <w:r>
        <w:rPr/>
        <w:t xml:space="preserve">Conformité aux indications du Dossier Technique.</w:t>
      </w:r>
    </w:p>
    <w:p>
      <w:pPr/>
      <w:r>
        <w:rPr>
          <w:rStyle w:val="font_h1"/>
        </w:rPr>
        <w:t xml:space="preserve">6. Contrôles internes</w:t>
      </w:r>
    </w:p>
    <w:p>
      <w:pPr/>
      <w:r>
        <w:rPr/>
        <w:t xml:space="preserve">Validé par le Groupe Spécialisé le 17/09/2019</w:t>
      </w:r>
    </w:p>
    <w:p>
      <w:pPr/>
      <w:r>
        <w:rPr>
          <w:b/>
          <w:bCs/>
        </w:rPr>
        <w:t xml:space="preserve">Description</w:t>
      </w:r>
    </w:p>
    <w:p>
      <w:pPr/>
      <w:r>
        <w:rPr/>
        <w:t xml:space="preserve">Indiquer les contrôles effectués :</w:t>
      </w:r>
    </w:p>
    <w:p>
      <w:pPr>
        <w:pPr/>
        <w:numPr>
          <w:ilvl w:val="0"/>
          <w:numId w:val="12"/>
        </w:numPr>
      </w:pPr>
      <w:r>
        <w:rPr/>
        <w:t xml:space="preserve">sur les matières premières</w:t>
      </w:r>
    </w:p>
    <w:p>
      <w:pPr>
        <w:pPr/>
        <w:numPr>
          <w:ilvl w:val="0"/>
          <w:numId w:val="12"/>
        </w:numPr>
      </w:pPr>
      <w:r>
        <w:rPr/>
        <w:t xml:space="preserve">en cours de process</w:t>
      </w:r>
    </w:p>
    <w:p>
      <w:pPr>
        <w:pPr/>
        <w:numPr>
          <w:ilvl w:val="0"/>
          <w:numId w:val="12"/>
        </w:numPr>
      </w:pPr>
      <w:r>
        <w:rPr/>
        <w:t xml:space="preserve">sur les produits finis.</w:t>
      </w:r>
    </w:p>
    <w:p>
      <w:pPr/>
      <w:r>
        <w:rPr>
          <w:b/>
          <w:bCs/>
        </w:rPr>
        <w:t xml:space="preserve">Justification</w:t>
      </w:r>
    </w:p>
    <w:p>
      <w:pPr/>
      <w:r>
        <w:rPr/>
        <w:t xml:space="preserve">Visite d’usine, Registre des contrôles.</w:t>
      </w:r>
    </w:p>
    <w:p>
      <w:pPr/>
      <w:r>
        <w:rPr>
          <w:b/>
          <w:bCs/>
        </w:rPr>
        <w:t xml:space="preserve">Critères d'évaluation</w:t>
      </w:r>
    </w:p>
    <w:p>
      <w:pPr/>
      <w:r>
        <w:rPr/>
        <w:t xml:space="preserve">Conformité aux indications du Dossier Technique.</w:t>
      </w:r>
    </w:p>
    <w:p>
      <w:pPr/>
      <w:r>
        <w:rPr>
          <w:rStyle w:val="font_h1"/>
        </w:rPr>
        <w:t xml:space="preserve">7. Contrôles externes</w:t>
      </w:r>
    </w:p>
    <w:p>
      <w:pPr/>
      <w:r>
        <w:rPr/>
        <w:t xml:space="preserve">Validé par le Groupe Spécialisé le 17/09/2019</w:t>
      </w:r>
    </w:p>
    <w:p>
      <w:pPr/>
      <w:r>
        <w:rPr>
          <w:b/>
          <w:bCs/>
        </w:rPr>
        <w:t xml:space="preserve">Description</w:t>
      </w:r>
    </w:p>
    <w:p>
      <w:pPr/>
      <w:r>
        <w:rPr/>
        <w:t xml:space="preserve">Indiquer les contrôles effectués par un organisme tiers :</w:t>
      </w:r>
    </w:p>
    <w:p>
      <w:pPr>
        <w:pPr/>
        <w:numPr>
          <w:ilvl w:val="0"/>
          <w:numId w:val="13"/>
        </w:numPr>
      </w:pPr>
      <w:r>
        <w:rPr/>
        <w:t xml:space="preserve">caractéristiques dimensionnelles,</w:t>
      </w:r>
    </w:p>
    <w:p>
      <w:pPr>
        <w:pPr/>
        <w:numPr>
          <w:ilvl w:val="0"/>
          <w:numId w:val="13"/>
        </w:numPr>
      </w:pPr>
      <w:r>
        <w:rPr/>
        <w:t xml:space="preserve">caractéristiques mécaniques</w:t>
      </w:r>
    </w:p>
    <w:p>
      <w:pPr>
        <w:pPr/>
        <w:numPr>
          <w:ilvl w:val="0"/>
          <w:numId w:val="13"/>
        </w:numPr>
      </w:pPr>
      <w:r>
        <w:rPr/>
        <w:t xml:space="preserve">étanchéité.</w:t>
      </w:r>
    </w:p>
    <w:p>
      <w:pPr/>
      <w:r>
        <w:rPr/>
        <w:t xml:space="preserve">Et la certification éventuelle du système qualité.</w:t>
      </w:r>
    </w:p>
    <w:p>
      <w:pPr/>
      <w:r>
        <w:rPr>
          <w:b/>
          <w:bCs/>
        </w:rPr>
        <w:t xml:space="preserve">Justification</w:t>
      </w:r>
    </w:p>
    <w:p>
      <w:pPr/>
      <w:r>
        <w:rPr/>
        <w:t xml:space="preserve">Certificats, référentiel de marque en français ou anglais.</w:t>
      </w:r>
    </w:p>
    <w:p>
      <w:pPr/>
      <w:r>
        <w:rPr>
          <w:b/>
          <w:bCs/>
        </w:rPr>
        <w:t xml:space="preserve">Critères d'évaluation</w:t>
      </w:r>
    </w:p>
    <w:p>
      <w:pPr/>
      <w:r>
        <w:rPr/>
        <w:t xml:space="preserve">Evaluation de la marque revendiquée (indépendance, lisibilité etc…).</w:t>
      </w:r>
    </w:p>
    <w:p>
      <w:pPr/>
      <w:r>
        <w:rPr>
          <w:rStyle w:val="font_h1"/>
        </w:rPr>
        <w:t xml:space="preserve">8. Mode de commercialisation</w:t>
      </w:r>
    </w:p>
    <w:p>
      <w:pPr/>
      <w:r>
        <w:rPr/>
        <w:t xml:space="preserve">Validé par le Groupe Spécialisé le 17/09/2019</w:t>
      </w:r>
    </w:p>
    <w:p>
      <w:pPr/>
      <w:r>
        <w:rPr>
          <w:b/>
          <w:bCs/>
        </w:rPr>
        <w:t xml:space="preserve">Description</w:t>
      </w:r>
    </w:p>
    <w:p>
      <w:pPr/>
      <w:r>
        <w:rPr/>
        <w:t xml:space="preserve">Indiquer le mode de commercialisation (en direct, réseau de distribution)</w:t>
      </w:r>
    </w:p>
    <w:p>
      <w:pPr/>
      <w:r>
        <w:rPr>
          <w:b/>
          <w:bCs/>
        </w:rPr>
        <w:t xml:space="preserve">Critères d'évaluation</w:t>
      </w:r>
    </w:p>
    <w:p>
      <w:pPr/>
      <w:r>
        <w:rPr/>
        <w:t xml:space="preserve">Conformité aux indications du Dossier Technique.</w:t>
      </w:r>
    </w:p>
    <w:p>
      <w:pPr/>
      <w:r>
        <w:rPr>
          <w:rStyle w:val="font_h1"/>
        </w:rPr>
        <w:t xml:space="preserve">9. Conditionnement, manutention, stockage</w:t>
      </w:r>
    </w:p>
    <w:p>
      <w:pPr/>
      <w:r>
        <w:rPr/>
        <w:t xml:space="preserve">Validé par le Groupe Spécialisé le 17/09/2019</w:t>
      </w:r>
    </w:p>
    <w:p>
      <w:pPr/>
      <w:r>
        <w:rPr>
          <w:b/>
          <w:bCs/>
        </w:rPr>
        <w:t xml:space="preserve">Description</w:t>
      </w:r>
    </w:p>
    <w:p>
      <w:pPr/>
      <w:r>
        <w:rPr/>
        <w:t xml:space="preserve">Préciser :</w:t>
      </w:r>
    </w:p>
    <w:p>
      <w:pPr>
        <w:pPr/>
        <w:numPr>
          <w:ilvl w:val="0"/>
          <w:numId w:val="14"/>
        </w:numPr>
      </w:pPr>
      <w:r>
        <w:rPr/>
        <w:t xml:space="preserve">le conditionnement des produits</w:t>
      </w:r>
    </w:p>
    <w:p>
      <w:pPr>
        <w:pPr/>
        <w:numPr>
          <w:ilvl w:val="0"/>
          <w:numId w:val="14"/>
        </w:numPr>
      </w:pPr>
      <w:r>
        <w:rPr/>
        <w:t xml:space="preserve">les conditions de manutention à respecter</w:t>
      </w:r>
    </w:p>
    <w:p>
      <w:pPr>
        <w:pPr/>
        <w:numPr>
          <w:ilvl w:val="0"/>
          <w:numId w:val="14"/>
        </w:numPr>
      </w:pPr>
      <w:r>
        <w:rPr/>
        <w:t xml:space="preserve">les conditions de stockage à respecter.</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w:t>
      </w:r>
    </w:p>
    <w:p>
      <w:pPr/>
      <w:r>
        <w:rPr>
          <w:rStyle w:val="font_h1"/>
        </w:rPr>
        <w:t xml:space="preserve">10. Mise en oeuvre</w:t>
      </w:r>
    </w:p>
    <w:p>
      <w:pPr>
        <w:ind w:left="720" w:right="0"/>
      </w:pPr>
      <w:r>
        <w:rPr>
          <w:rStyle w:val="font_h2"/>
        </w:rPr>
        <w:t xml:space="preserve">10.1. Généralités</w:t>
      </w:r>
    </w:p>
    <w:p>
      <w:pPr/>
      <w:r>
        <w:rPr/>
        <w:t xml:space="preserve">Validé par le Groupe Spécialisé le 17/09/2019</w:t>
      </w:r>
    </w:p>
    <w:p>
      <w:pPr/>
      <w:r>
        <w:rPr>
          <w:b/>
          <w:bCs/>
        </w:rPr>
        <w:t xml:space="preserve">Description</w:t>
      </w:r>
    </w:p>
    <w:p>
      <w:pPr/>
      <w:r>
        <w:rPr/>
        <w:t xml:space="preserve">Décrire les conditions générales de mise en œuvre et notamment les spécificités éventuelles propres au produit.</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w:t>
      </w:r>
    </w:p>
    <w:p>
      <w:pPr>
        <w:ind w:left="720" w:right="0"/>
      </w:pPr>
      <w:r>
        <w:rPr>
          <w:rStyle w:val="font_h2"/>
        </w:rPr>
        <w:t xml:space="preserve">10.2. Opération de terrassement</w:t>
      </w:r>
    </w:p>
    <w:p>
      <w:pPr/>
      <w:r>
        <w:rPr/>
        <w:t xml:space="preserve">Validé par le Groupe Spécialisé le 17/09/2019</w:t>
      </w:r>
    </w:p>
    <w:p>
      <w:pPr/>
      <w:r>
        <w:rPr>
          <w:b/>
          <w:bCs/>
        </w:rPr>
        <w:t xml:space="preserve">Description</w:t>
      </w:r>
    </w:p>
    <w:p>
      <w:pPr/>
      <w:r>
        <w:rPr/>
        <w:t xml:space="preserve">Exemple de rédaction :</w:t>
      </w:r>
    </w:p>
    <w:p>
      <w:pPr/>
      <w:r>
        <w:rPr/>
        <w:t xml:space="preserve">« Un espace de 50 cm est nécessaire entre les parois de la tranchée et celles du regard afin de permettre un accès sécurisé au personnel de chantier en accord avec la réglementation et pour permettre les opérations suivantes :</w:t>
      </w:r>
    </w:p>
    <w:p>
      <w:pPr>
        <w:pPr/>
        <w:numPr>
          <w:ilvl w:val="0"/>
          <w:numId w:val="15"/>
        </w:numPr>
      </w:pPr>
      <w:r>
        <w:rPr/>
        <w:t xml:space="preserve">Raccordement aux canalisations. </w:t>
      </w:r>
    </w:p>
    <w:p>
      <w:pPr>
        <w:pPr/>
        <w:numPr>
          <w:ilvl w:val="0"/>
          <w:numId w:val="15"/>
        </w:numPr>
      </w:pPr>
      <w:r>
        <w:rPr/>
        <w:t xml:space="preserve">Assemblage des éléments du regard entre eux.</w:t>
      </w:r>
    </w:p>
    <w:p>
      <w:pPr>
        <w:pPr/>
        <w:numPr>
          <w:ilvl w:val="0"/>
          <w:numId w:val="15"/>
        </w:numPr>
      </w:pPr>
      <w:r>
        <w:rPr/>
        <w:t xml:space="preserve">Remblaiement et compactage avec des matériels appropriés.</w:t>
      </w:r>
    </w:p>
    <w:p>
      <w:pPr/>
      <w:r>
        <w:rPr/>
        <w:t xml:space="preserve">La profondeur de l’excavation nécessaire à la mise en œuvre du XXXX doit être supérieure de 150 mm à la hauteur du regard. »</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 faisabilité.</w:t>
      </w:r>
    </w:p>
    <w:p>
      <w:pPr>
        <w:ind w:left="720" w:right="0"/>
      </w:pPr>
      <w:r>
        <w:rPr>
          <w:rStyle w:val="font_h2"/>
        </w:rPr>
        <w:t xml:space="preserve">10.3. Lit de pose</w:t>
      </w:r>
    </w:p>
    <w:p>
      <w:pPr/>
      <w:r>
        <w:rPr/>
        <w:t xml:space="preserve">Validé par le Groupe Spécialisé le 17/09/2019</w:t>
      </w:r>
    </w:p>
    <w:p>
      <w:pPr/>
      <w:r>
        <w:rPr>
          <w:b/>
          <w:bCs/>
        </w:rPr>
        <w:t xml:space="preserve">Description</w:t>
      </w:r>
    </w:p>
    <w:p>
      <w:pPr/>
      <w:r>
        <w:rPr/>
        <w:t xml:space="preserve">Exemple de rédaction :</w:t>
      </w:r>
    </w:p>
    <w:p>
      <w:pPr/>
      <w:r>
        <w:rPr/>
        <w:t xml:space="preserve">« Un lit plan,  horizontal d’au moins 10 cm et compacté doit être réalisé avec un matériau de granulométrie maximum 30 mm. Les grosses pierres et les lentilles d’argile qui peuvent être la cause de points de pression excessifs seront retirées du fond de fouille. »</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 faisabilité.</w:t>
      </w:r>
    </w:p>
    <w:p>
      <w:pPr>
        <w:ind w:left="720" w:right="0"/>
      </w:pPr>
      <w:r>
        <w:rPr>
          <w:rStyle w:val="font_h2"/>
        </w:rPr>
        <w:t xml:space="preserve">10.4. Assemblage des éléments</w:t>
      </w:r>
    </w:p>
    <w:p>
      <w:pPr/>
      <w:r>
        <w:rPr/>
        <w:t xml:space="preserve">Validé par le Groupe Spécialisé le 17/09/2019</w:t>
      </w:r>
    </w:p>
    <w:p>
      <w:pPr/>
      <w:r>
        <w:rPr>
          <w:b/>
          <w:bCs/>
        </w:rPr>
        <w:t xml:space="preserve">Description</w:t>
      </w:r>
    </w:p>
    <w:p>
      <w:pPr/>
      <w:r>
        <w:rPr/>
        <w:t xml:space="preserve">Exemple de rédaction</w:t>
      </w:r>
    </w:p>
    <w:p>
      <w:pPr>
        <w:pPr/>
        <w:numPr>
          <w:ilvl w:val="0"/>
          <w:numId w:val="16"/>
        </w:numPr>
      </w:pPr>
      <w:r>
        <w:rPr/>
        <w:t xml:space="preserve">« L’élément de fond doit être correctement positionné sur le lit en fond de fouille en fonction des canalisations à brancher.</w:t>
      </w:r>
    </w:p>
    <w:p>
      <w:pPr>
        <w:pPr/>
        <w:numPr>
          <w:ilvl w:val="0"/>
          <w:numId w:val="16"/>
        </w:numPr>
      </w:pPr>
      <w:r>
        <w:rPr/>
        <w:t xml:space="preserve">Les trois éléments sont emboîtés sur place après positionnement des joints circulaires et lubrification.</w:t>
      </w:r>
    </w:p>
    <w:p>
      <w:pPr>
        <w:pPr/>
        <w:numPr>
          <w:ilvl w:val="0"/>
          <w:numId w:val="16"/>
        </w:numPr>
      </w:pPr>
      <w:r>
        <w:rPr/>
        <w:t xml:space="preserve">Les raccordements aux canalisations se font par l’intermédiaire des manchons à angulation montés sur les entrées et sorties du regard.</w:t>
      </w:r>
    </w:p>
    <w:p>
      <w:pPr>
        <w:pPr/>
        <w:numPr>
          <w:ilvl w:val="0"/>
          <w:numId w:val="16"/>
        </w:numPr>
      </w:pPr>
      <w:r>
        <w:rPr/>
        <w:t xml:space="preserve">Un jeu doit être respecté entre la dalle de répartition et le haut du regard, la dalle doit être centrée.</w:t>
      </w:r>
    </w:p>
    <w:p>
      <w:pPr>
        <w:pPr/>
        <w:numPr>
          <w:ilvl w:val="0"/>
          <w:numId w:val="16"/>
        </w:numPr>
      </w:pPr>
      <w:r>
        <w:rPr/>
        <w:t xml:space="preserve">Le recouvrement de la dalle de répartition avec le sommet de regard est de 50 mm au minimum. »</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 faisabilité.</w:t>
      </w:r>
    </w:p>
    <w:p>
      <w:pPr>
        <w:ind w:left="720" w:right="0"/>
      </w:pPr>
      <w:r>
        <w:rPr>
          <w:rStyle w:val="font_h2"/>
        </w:rPr>
        <w:t xml:space="preserve">10.5. Choix des matériaux de remblai et de mise en oeuvre</w:t>
      </w:r>
    </w:p>
    <w:p>
      <w:pPr/>
      <w:r>
        <w:rPr/>
        <w:t xml:space="preserve">Validé par le Groupe Spécialisé le 17/09/2019</w:t>
      </w:r>
    </w:p>
    <w:p>
      <w:pPr/>
      <w:r>
        <w:rPr>
          <w:b/>
          <w:bCs/>
        </w:rPr>
        <w:t xml:space="preserve">Description</w:t>
      </w:r>
    </w:p>
    <w:p>
      <w:pPr/>
      <w:r>
        <w:rPr/>
        <w:t xml:space="preserve">Exemple de rédaction</w:t>
      </w:r>
    </w:p>
    <w:p>
      <w:pPr>
        <w:pPr/>
        <w:numPr>
          <w:ilvl w:val="0"/>
          <w:numId w:val="17"/>
        </w:numPr>
      </w:pPr>
      <w:r>
        <w:rPr/>
        <w:t xml:space="preserve">« Les déblais peuvent être éventuellement réutilisés pour le lit de pose dans la mesure où la taille des granulats n’excède pas 20 mm. Les pierres de taille importante doivent être retirées de la fouille.</w:t>
      </w:r>
    </w:p>
    <w:p>
      <w:pPr>
        <w:pPr/>
        <w:numPr>
          <w:ilvl w:val="0"/>
          <w:numId w:val="17"/>
        </w:numPr>
      </w:pPr>
      <w:r>
        <w:rPr/>
        <w:t xml:space="preserve">L’enrobage du regard est constitué de sable ou de graves propres ou légèrement silteux ou peu argileux type graves 0/50, sols G1 ou G2 décrit dans le fascicule 70.</w:t>
      </w:r>
    </w:p>
    <w:p>
      <w:pPr>
        <w:pPr/>
        <w:numPr>
          <w:ilvl w:val="0"/>
          <w:numId w:val="17"/>
        </w:numPr>
      </w:pPr>
      <w:r>
        <w:rPr/>
        <w:t xml:space="preserve">La répartition du remblai dans la partie basse du regard doit être bien réalisée par couches successives de 20 cm avec les matériaux tels que définis pour l'enrobage. </w:t>
      </w:r>
    </w:p>
    <w:p>
      <w:pPr>
        <w:pPr/>
        <w:numPr>
          <w:ilvl w:val="0"/>
          <w:numId w:val="17"/>
        </w:numPr>
      </w:pPr>
      <w:r>
        <w:rPr/>
        <w:t xml:space="preserve">La mise en œuvre de la partie supérieure et inférieure du remblai est effectuée par couches successives autour du regard à l'aide d'un matériel adapté (par exemple plaque vibrante). Les prescriptions du fascicule 70 et de la norme NF P98-331 doivent être respectées.</w:t>
      </w:r>
    </w:p>
    <w:p>
      <w:pPr>
        <w:pPr/>
        <w:numPr>
          <w:ilvl w:val="0"/>
          <w:numId w:val="17"/>
        </w:numPr>
      </w:pPr>
      <w:r>
        <w:rPr/>
        <w:t xml:space="preserve">Les manchons d’entrées et de sorties doivent être posés sur lit de sable compacté et l’enrobage réalisé selon les prescriptions du fascicule 70. »</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 faisabilité.</w:t>
      </w:r>
    </w:p>
    <w:p>
      <w:pPr>
        <w:ind w:left="720" w:right="0"/>
      </w:pPr>
      <w:r>
        <w:rPr>
          <w:rStyle w:val="font_h2"/>
        </w:rPr>
        <w:t xml:space="preserve">10.6. Cas des nappes phréatiques</w:t>
      </w:r>
    </w:p>
    <w:p>
      <w:pPr/>
      <w:r>
        <w:rPr/>
        <w:t xml:space="preserve">Validé par le Groupe Spécialisé le 17/09/2019</w:t>
      </w:r>
    </w:p>
    <w:p>
      <w:pPr/>
      <w:r>
        <w:rPr>
          <w:b/>
          <w:bCs/>
        </w:rPr>
        <w:t xml:space="preserve">Description</w:t>
      </w:r>
    </w:p>
    <w:p>
      <w:pPr/>
      <w:r>
        <w:rPr/>
        <w:t xml:space="preserve">Exemple de rédaction</w:t>
      </w:r>
    </w:p>
    <w:p>
      <w:pPr/>
      <w:r>
        <w:rPr/>
        <w:t xml:space="preserve">« La poussée d’Archimède due à la présence d’une nappe phréatique est compensée par :</w:t>
      </w:r>
    </w:p>
    <w:p>
      <w:pPr>
        <w:pPr/>
        <w:numPr>
          <w:ilvl w:val="0"/>
          <w:numId w:val="18"/>
        </w:numPr>
      </w:pPr>
      <w:r>
        <w:rPr/>
        <w:t xml:space="preserve">l’action du remblai compacté.</w:t>
      </w:r>
    </w:p>
    <w:p>
      <w:pPr>
        <w:pPr/>
        <w:numPr>
          <w:ilvl w:val="0"/>
          <w:numId w:val="18"/>
        </w:numPr>
      </w:pPr>
      <w:r>
        <w:rPr/>
        <w:t xml:space="preserve">les nervures de renfort qui favorisent l’ancrage.</w:t>
      </w:r>
    </w:p>
    <w:p>
      <w:pPr>
        <w:pPr/>
        <w:numPr>
          <w:ilvl w:val="0"/>
          <w:numId w:val="18"/>
        </w:numPr>
      </w:pPr>
      <w:r>
        <w:rPr/>
        <w:t xml:space="preserve">le poids du regard.En cas d’arrêt provisoire du remblaiement, prévoir un lestage du regard afin de compenser  les  poussées de la nappe phréatique. »</w:t>
      </w:r>
    </w:p>
    <w:p>
      <w:pPr/>
      <w:r>
        <w:rPr>
          <w:b/>
          <w:bCs/>
        </w:rPr>
        <w:t xml:space="preserve">Justification</w:t>
      </w:r>
    </w:p>
    <w:p>
      <w:pPr/>
      <w:r>
        <w:rPr/>
        <w:t xml:space="preserve">Visite de chantier, visite d’usine.</w:t>
      </w:r>
    </w:p>
    <w:p>
      <w:pPr/>
      <w:r>
        <w:rPr>
          <w:b/>
          <w:bCs/>
        </w:rPr>
        <w:t xml:space="preserve">Critères d'évaluation</w:t>
      </w:r>
    </w:p>
    <w:p>
      <w:pPr/>
      <w:r>
        <w:rPr/>
        <w:t xml:space="preserve">Vérification par le calcul.</w:t>
      </w:r>
    </w:p>
    <w:p>
      <w:pPr>
        <w:ind w:left="720" w:right="0"/>
      </w:pPr>
      <w:r>
        <w:rPr>
          <w:rStyle w:val="font_h2"/>
        </w:rPr>
        <w:t xml:space="preserve">10.7. Echelle</w:t>
      </w:r>
    </w:p>
    <w:p>
      <w:pPr/>
      <w:r>
        <w:rPr/>
        <w:t xml:space="preserve">Validé par le Groupe Spécialisé le 17/09/2019</w:t>
      </w:r>
    </w:p>
    <w:p>
      <w:pPr/>
      <w:r>
        <w:rPr>
          <w:b/>
          <w:bCs/>
        </w:rPr>
        <w:t xml:space="preserve">Description</w:t>
      </w:r>
    </w:p>
    <w:p>
      <w:pPr/>
      <w:r>
        <w:rPr/>
        <w:t xml:space="preserve">Décrire les modalités de montage de l’échelle dans le regard.</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36C6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92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376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E69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A01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E956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4D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960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A7B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B7A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2025-10-29T07:42:33+01:00</dcterms:created>
  <dcterms:modified xsi:type="dcterms:W3CDTF">2025-10-29T07:42:33+01:00</dcterms:modified>
</cp:coreProperties>
</file>

<file path=docProps/custom.xml><?xml version="1.0" encoding="utf-8"?>
<Properties xmlns="http://schemas.openxmlformats.org/officeDocument/2006/custom-properties" xmlns:vt="http://schemas.openxmlformats.org/officeDocument/2006/docPropsVTypes"/>
</file>